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6B_817/2015 vom 7. September 2015</w:t>
      </w:r>
    </w:p>
    <w:p>
      <w:r>
        <w:t>Bundesgericht, 2015-09-07, DE</w:t>
      </w:r>
    </w:p>
    <w:p>
      <w:r>
        <w:rPr>
          <w:b/>
        </w:rPr>
        <w:t xml:space="preserve">Quelle: </w:t>
      </w:r>
      <w:r>
        <w:t>https://mcp.opencaselaw.ch/entscheid/bger_6B_817_2015</w:t>
      </w:r>
    </w:p>
    <w:p>
      <w:r>
        <w:t>FR: TF 6B_817/2015 du 7 septembre 2015</w:t>
      </w:r>
    </w:p>
    <w:p>
      <w:r>
        <w:t>IT: TF 6B_817/2015 del 7 settembre 2015</w:t>
      </w:r>
    </w:p>
    <w:p>
      <w:pPr>
        <w:pStyle w:val="Heading2"/>
      </w:pPr>
      <w:r>
        <w:t>Erwägungen</w:t>
      </w:r>
    </w:p>
    <w:p>
      <w:r>
        <w:rPr>
          <w:b/>
        </w:rPr>
        <w:t>E. 1</w:t>
      </w:r>
    </w:p>
    <w:p>
      <w:r>
        <w:t>Der Beschwerdeführer erstattete am 16. Dezember 2014 Strafanzeige gegen die Tochter der Vermieter der von ihm bewohnten Wohnung wegen Betrugs, falscher Aussage vor der Schlichtungsstelle, übler Nachrede, falscher Behauptung betreffend offene Mietzinse und Anleitung zum Versicherungsbetrug. Die Staatsanwaltschaft nahm das Verfahren am 7. Januar 2015 nicht an die Hand. Eine dagegen gerichtete Beschwerde wies das Kantonsgericht Basel-Landschaft am 23. Juni 2015 ab.</w:t>
      </w:r>
    </w:p>
    <w:p>
      <w:r>
        <w:t>Der Beschwerdeführer wendet sich ans Bundesgericht, ohne einen ausdrücklichen Antrag zu stellen. Offensichtlich strebt er eine Verurteilung der Beschuldigten an.</w:t>
      </w:r>
    </w:p>
    <w:p>
      <w:r>
        <w:rPr>
          <w:b/>
        </w:rPr>
        <w:t>E. 2</w:t>
      </w:r>
    </w:p>
    <w:p>
      <w:r>
        <w:t>Ob die Eingabe fristgerecht ist (vgl. Beschwerde S. 2 unten), kann offenbleiben, da sie aus anderen Gründen unzulässig ist.</w:t>
      </w:r>
    </w:p>
    <w:p>
      <w:r>
        <w:rPr>
          <w:b/>
        </w:rPr>
        <w:t>E. 3</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OR,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Diese Regeln gelten auch für Ehrverletzungsdelikte (Urteil 6B_448/2015 vom 2. Juli 2015 E. 3.1).</w:t>
      </w:r>
    </w:p>
    <w:p>
      <w:r>
        <w:t>Der Beschwerdeführer äussert sich zu seiner Legitimation nicht. Zwar nennt er verschiedene Zahlen, die allerdings nicht übereinstimmen, und insbesondere ist z.B. nicht ersichtlich, inwieweit ihm bis September 2015 ein Schaden von Fr. 1'977.60 entstanden sein soll (Beschwerde Ziff. 13). Da die Angaben den strengen Begründungsanforderungen des Bundesgerichts nicht genügen, kann auf die Beschwerde im Verfahren nach Art. 108 BGG nicht eingetreten werden.</w:t>
      </w:r>
    </w:p>
    <w:p>
      <w:r>
        <w:rPr>
          <w:b/>
        </w:rPr>
        <w:t>E. 4</w:t>
      </w:r>
    </w:p>
    <w:p>
      <w:r>
        <w:t>Die Gerichtskosten sind dem Beschwerdeführer aufzuerlegen ( Art. 66 Abs. 1 BGG ). Das Gesuch um unentgeltliche Rechtspflege ist in Anwendung von Art. 64 BGG abzuweisen, weil die Rechtsbegehren aussichtslos erschienen. Da der Beschwerdeführer seine angebliche Bedürftigkeit mit keinem Wort erläutert, kommt eine Herabsetzung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