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6B_815/2017 vom 25. Juli 2017</w:t>
      </w:r>
    </w:p>
    <w:p>
      <w:r>
        <w:t>Bundesgericht, 2017-07-25, FR</w:t>
      </w:r>
    </w:p>
    <w:p>
      <w:r>
        <w:rPr>
          <w:b/>
        </w:rPr>
        <w:t xml:space="preserve">Quelle: </w:t>
      </w:r>
      <w:r>
        <w:t>https://mcp.opencaselaw.ch/entscheid/bger_6B_815_2017</w:t>
      </w:r>
    </w:p>
    <w:p>
      <w:r>
        <w:t>FR: TF 6B_815/2017 du 25 juillet 2017</w:t>
      </w:r>
    </w:p>
    <w:p>
      <w:r>
        <w:t>IT: TF 6B_815/2017 del 25 luglio 2017</w:t>
      </w:r>
    </w:p>
    <w:p>
      <w:pPr>
        <w:pStyle w:val="Heading2"/>
      </w:pPr>
      <w:r>
        <w:t>Erwägungen</w:t>
      </w:r>
    </w:p>
    <w:p>
      <w:r>
        <w:rPr>
          <w:b/>
        </w:rPr>
        <w:t>E. 1</w:t>
      </w:r>
    </w:p>
    <w:p>
      <w:r>
        <w:t>Par arrêt du 2 juin 2017, la Chambre des recours pénale du Tribunal cantonal vaudois a rejeté le recours de A.________ contre l'ordonnance de non-entrée en matière rendue le 23 février 2017 sur une partie de sa plainte contre B.________ pour faux dans les titres, ce dernier ayant été condamné de ce chef par ordonnance pénale du même jour. A.________ reprochait à B.________ d'avoir fait faire une carte de crédit C.________ à son nom et à son insu auprès dudit commerce, puis d'avoir utilisé cette carte afin d'effectuer divers achats, accumulant un solde négatif de plusieurs milliers de francs. A.________ recourt en matière pénale au Tribunal fédéral contre l'arrêt cantonal.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qui a déclaré n'avoir subi aucun préjudice financier consécutif à cette affaire (cf. arrêt attaqué p. 5 § 2), ne se détermine nullement sur un éventuel dommage, ni sur le principe ni sur la quotité. En particulier, il n'expose pas en quoi ce dommage dépasserait le solde de 2'500 francs que B.________ s'est engagé à payer à la société lésée (cf. arrêt attaqué p. 5 § 2).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