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815/2013 vom 22. April 2014</w:t>
      </w:r>
    </w:p>
    <w:p>
      <w:r>
        <w:t>Bundesgericht, 2014-04-22, DE</w:t>
      </w:r>
    </w:p>
    <w:p>
      <w:r>
        <w:rPr>
          <w:b/>
        </w:rPr>
        <w:t xml:space="preserve">Quelle: </w:t>
      </w:r>
      <w:r>
        <w:t>https://mcp.opencaselaw.ch/entscheid/bger_6B_815_2013</w:t>
      </w:r>
    </w:p>
    <w:p>
      <w:r>
        <w:t>FR: TF 6B 815/2013 du 22 avril 2014</w:t>
      </w:r>
    </w:p>
    <w:p>
      <w:r>
        <w:t>IT: TF 6B 815/2013 del 22 aprile 2014</w:t>
      </w:r>
    </w:p>
    <w:p>
      <w:pPr>
        <w:pStyle w:val="Heading2"/>
      </w:pPr>
      <w:r>
        <w:t>Regeste</w:t>
      </w:r>
    </w:p>
    <w:p>
      <w:r>
        <w:t>Kosten- und Entschädigungsregelung; Verletzung des Anspruchs auf rechtliches Gehör | Strafprozess</w:t>
      </w:r>
    </w:p>
    <w:p>
      <w:pPr>
        <w:pStyle w:val="Heading2"/>
      </w:pPr>
      <w:r>
        <w:t>Erwägungen</w:t>
      </w:r>
    </w:p>
    <w:p>
      <w:r>
        <w:rPr>
          <w:b/>
        </w:rPr>
        <w:t>E. 1</w:t>
      </w:r>
    </w:p>
    <w:p>
      <w:r>
        <w:t>Der Beschwerdeführer wirft der Vorinstanz eine offensichtlich unrichtige Feststellung des Sachverhalts ( Art. 97 Abs. 1 BGG i.V.m. Art. 9 BV ) und die Verletzung von Art. 426 Abs. 2, Art. 433 Abs. 1 lit. b sowie Art. 429 Abs. 1 lit. a StPO , der Begründungspflicht ( Art. 81 Abs. 1 lit. b StPO , Art. 29 Abs. 2 BV und Art. 6 Ziff. 1 EMRK ), des Anspruchs auf rechtliches Gehör ( Art. 29 Abs. 2 BV sowie Art. 6 Ziff. 1 EMRK ) und der Unschuldsvermutung ( Art. 32 Abs. 1 BV sowie Art. 6 Ziff. 2 EMRK ) vor (Beschwerde S. 4 ff.). Das Recht, angehört zu werden, ist formeller Natur. Dessen Verletzung führt ungeachtet der materiellen Begründetheit des Rechtsmittels zur Gutheissung der Beschwerde und zur Aufhebung des angefochtenen Entscheids ( BGE 137 I 195 E. 2.2 mit Hinweis). Die entsprechenden Rügen sind deshalb vorweg zu prüfen.</w:t>
      </w:r>
    </w:p>
    <w:p>
      <w:r>
        <w:rPr>
          <w:b/>
        </w:rPr>
        <w:t>E. 2.1</w:t>
      </w:r>
    </w:p>
    <w:p>
      <w:r>
        <w:t>Der Beschwerdeführer macht eine Verletzung seines Anspruchs auf rechtliches Gehör geltend. Er sei im vorinstanzlichen Verfahren nicht auf eine mögliche Kosten- und Entschädigungsauflage trotz Einstellung des Verfahrens aufmerksam gemacht worden. Er habe sich weder zu den diesbezüglichen Fakten noch zur rechtlichen Lage äussern können. Die Vorinstanz habe ihre Verhandlung auf die Vorfragen über die Antragsberechtigung und die Verletzung des Anklageprinzips beschränkt (Beschwerde S. 7-9 Ziff. 21-28).</w:t>
      </w:r>
    </w:p>
    <w:p>
      <w:r>
        <w:rPr>
          <w:b/>
        </w:rPr>
        <w:t>E. 2.2</w:t>
      </w:r>
    </w:p>
    <w:p>
      <w:r>
        <w:t>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mit Hinweisen).</w:t>
      </w:r>
    </w:p>
    <w:p>
      <w:r>
        <w:rPr>
          <w:b/>
        </w:rPr>
        <w:t>E. 2.3</w:t>
      </w:r>
    </w:p>
    <w:p>
      <w:r>
        <w:t>Am 23. Januar 2013 wies die Vorinstanz die Beweisanträge des Beschwerdeführers auf Einvernahme von Zeugen, Edition von EDV-Anlagen-Nutzungsverträgen und Einholung eines Gutachtens über die existenzbedrohende Situation der Z.________ AG einstweilen ab. Im Hinblick auf die Berufungsverhandlung vom 7. Mai 2013 reichte der Beschwerdeführer eine kurze Begründung ein. Darin machte er u.a. geltend, die Y.________ AG sei nicht strafantragsberechtigt und das Anklageprinzip sei verletzt. Sein Gesuch vom 10. April 2013, das Verfahren auf die Vorfrage der Antragsberechtigung der Y.________ AG zu beschränken, wies die Vorinstanz am 24. April 2013 ab (Beschluss S. 2 f. E. 4, Beschwerde S. 7 Ziff. 21; vorinstanzliche Akten, act. 54 und act. 58-60). Auf Nachfrage erklärte der Rechtsvertreter des Beschwerdeführers zu Beginn der Berufungsverhandlung, er halte an seinem Antrag auf Beschränkung des Verfahrens betreffend Strafantragsberechtigung fest. In der Folge plädierten sowohl er als auch die damalige Rechtsvertreterin der Beschwerdegegnerin 2 ausschliesslich zu den Vorfragen (Verhandlungsprotokoll, vorinstanzliche Akten, act. 66 S. 8 ff., und Plädoyernotizen, vorinstanzliche Akten, act. 63 f.). Den Plädoyernotizen des Verteidigers des Beschwerdeführers kann entnommen werden, dass er sich u.a. auch auf die Kosten- und Entschädigungsfolgen vorbereitet hatte (vorinstanzliche Akten, act. 63 S. 30-32). Nach Replik und Duplik zu den Vorfragen wurde die Verhandlung für eine Zwischenberatung unterbrochen. Nachdem sich die Parteien zu ihren Aufwendungen im Berufungsverfahren äussern konnten, eröffnete die Vorinstanz - nach einer Beratung - mündlich den angefochtenen Beschluss (Protokoll der vorinstanzlichen Verhandlung, vorinstanzliche Akten, act. 66 S. 8-13). Darin bestätigte sie trotz der Einstellung des Verfahrens die erstinstanzlichen Kosten- und Entschädigungsfolgen. Damit verpflichtete sie den Beschwerdeführer zur Bezahlung von Gerichts- und Parteikosten, ohne ihm zuvor die Möglichkeit einer diesbezüglichen Stellungnahme gewährt zu haben. Dieser durfte sich lediglich zu den Vorfragen äussern. Dabei führte er aus, das erstinstanzliche Urteil sei aufgrund des fehlenden gültigen Strafantrags und der Missachtung des Anklageprinzips aufzuheben (Plädoyernotizen, vorinstanzliche Akten, act. 63 S. 6-9 Ziff. 12-18). Er setzte sich somit für die Beendigung des Strafverfahrens ein. Gleichwohl kann ihm vorliegend nicht vorgehalten werden, er hätte sich von sich aus bereits in dieser Stellungnahme zu einer möglichen Kostenauflage und Entschädigungspflicht äussern müssen. Er musste nicht damit rechnen, dass die Vorinstanz die Berufungsverhandlung unterbricht und unmittelbar entscheidet, ohne dass er sein vorbereitetes Plädoyer abschliessen konnte. Eine Heilung dieser schweren Verletzung des Anspruchs auf rechtliches Gehör des Beschwerdeführers im bundesgerichtlichen Verfahren kommt offensichtlich nicht in Betracht (zum Ganzen BGE 137 I 195 E. 2.3.2 mit Hinweisen).</w:t>
      </w:r>
    </w:p>
    <w:p>
      <w:r>
        <w:rPr>
          <w:b/>
        </w:rPr>
        <w:t>E. 3</w:t>
      </w:r>
    </w:p>
    <w:p>
      <w:r>
        <w:t>Die Beschwerde ist gutzuheissen. Der angefochtene Beschluss ist aufzuheben und die Sache zur neuen Entscheidung (unter Gewährung des rechtlichen Gehörs) an die Vorinstanz zurückzuweisen. Auf die übrigen Rügen und Vorbringen des Beschwerdeführers ist bei dieser Sachlage nicht einzugehen. Der Vorinstanz und der Beschwerdegegnerin 1 sind keine Kosten aufzuerlegen ( Art. 66 Abs. 4 BGG ). Da die Beschwerdegegnerin 2 mit ihrem Antrag unterliegt, hat sie die hälftigen Gerichtskosten zu tragen ( Art. 66 Abs. 1 BGG ) und dem anwaltlich vertretenen Beschwerdeführer zusammen mit dem Kanton Zürich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