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6B_814/2013 vom 28. November 2013</w:t>
      </w:r>
    </w:p>
    <w:p>
      <w:r>
        <w:t>Bundesgericht, 2013-11-28, DE</w:t>
      </w:r>
    </w:p>
    <w:p>
      <w:r>
        <w:rPr>
          <w:b/>
        </w:rPr>
        <w:t xml:space="preserve">Quelle: </w:t>
      </w:r>
      <w:r>
        <w:t>https://mcp.opencaselaw.ch/entscheid/bger_6B_814_2013</w:t>
      </w:r>
    </w:p>
    <w:p>
      <w:r>
        <w:t>FR: TF 6B_814/2013 du 28 novembre 2013</w:t>
      </w:r>
    </w:p>
    <w:p>
      <w:r>
        <w:t>IT: TF 6B_814/2013 del 28 novembre 2013</w:t>
      </w:r>
    </w:p>
    <w:p>
      <w:pPr>
        <w:pStyle w:val="Heading2"/>
      </w:pPr>
      <w:r>
        <w:t>Erwägungen</w:t>
      </w:r>
    </w:p>
    <w:p>
      <w:r>
        <w:rPr>
          <w:b/>
        </w:rPr>
        <w:t>E. 1</w:t>
      </w:r>
    </w:p>
    <w:p>
      <w:r>
        <w:t>Der Beschwerdeführer stellt in der Begründung, nicht aber in den Anträgen seiner Beschwerde das Begehren, das vorliegende Beschwerdeverfahren sei mit dem Beschwerdeverfahren 1B_226/2013 zu vereinigen. Auf sein Begehren kann nicht eingetreten werden, nachdem jenes Verfahren mit dem Urteil des Bundesgerichts vom 30. August 2013 rechtskräftig abgeschlossen wurde.</w:t>
      </w:r>
    </w:p>
    <w:p>
      <w:r>
        <w:rPr>
          <w:b/>
        </w:rPr>
        <w:t>E. 2.1</w:t>
      </w:r>
    </w:p>
    <w:p>
      <w:r>
        <w:t>Der Beschwerdeführer rügt, dass die Vorinstanz "in Verletzung von Art. 383 StPO und des Gehöranspruchs" nicht begründet habe, warum vorliegend eine Kaution auferlegt wurde. Überdies erscheine es mit Art. 29 BV nicht vereinbar, dem Privatkläger bei einer strafrechtlich motivierten Berufung die unentgeltliche Prozessführung mangels Mitanfechtung des Zivilpunkts zu verweigern und ihm eine Prozesskaution aufzuerlegen.</w:t>
      </w:r>
    </w:p>
    <w:p>
      <w:r>
        <w:rPr>
          <w:b/>
        </w:rPr>
        <w:t>E. 2.2.1</w:t>
      </w:r>
    </w:p>
    <w:p>
      <w:r>
        <w:t>Nach Art. 383 StPO kann die Verfahrensleitung der Rechtsmittelinstanz die Privatklägerschaft verpflichten, innert einer Frist für allfällige Kosten und Entschädigungen Sicherheit zu leisten. Vorbehalten bleibt die unentgeltliche Prozessführung (Abs. 1). Wird die Sicherheit nicht fristgerecht geleistet, tritt die Rechtsmittelinstanz auf das Rechtsmittel nicht ein (Abs. 2). Die Auferlegung einer Sicherheitsleistung ist - analog zum Kostenvorschuss im Zivilprozess ( Art. 98 ZPO ), aber anders als die Sicherheitsleistung für die Parteientschädigung im Zivilprozess ( Art. 99 ZPO ) - an keine Voraussetzungen gebunden (Martin Ziegler, in: Basler Kommentar, Schweizerische Strafprozessordnung, 2011, N. 1 zu Art. 383). Dies gilt unbesehen der Frage, ob die Privatklägerschaft ein Rechtsmittel nur im Strafpunkt oder auch im Zivilpunkt erhebt.</w:t>
      </w:r>
    </w:p>
    <w:p>
      <w:r>
        <w:rPr>
          <w:b/>
        </w:rPr>
        <w:t>E. 2.2.2</w:t>
      </w:r>
    </w:p>
    <w:p>
      <w:r>
        <w:t>In der Botschaft (Botschaft zur Vereinheitlichung des Strafprozessrechts vom 21. Dezember 2005, BBl 2006 1308 Ziff. 2.9.1) und ihr folgend teilweise auch in der Literatur (Niklaus Schmid, Schweizerische Strafprozessordnung, Praxiskommentar, 2. Aufl. 2013, N. zu Art. 383) wird zwar die Auffassung vertreten, dass die Regelung mit Zurückhaltung anzuwenden sei. Zugleich wird aber auch darauf verwiesen, dass die Kosten- und Entschädigungspflicht das Gegenstück zu den sehr weitgehenden Rechtsmittelbefugnissen der Privatklägerschaft bildet. Um die Vollstreckung allfälliger Kosten- und Entschädigungsansprüche zu gewährleisten, müsse die Möglichkeit geschaffen werden, von der Privatklägerschaft entsprechende Sicherheiten zu verlangen (BBl 2006 1308 Ziff. 2.9.1).</w:t>
      </w:r>
    </w:p>
    <w:p>
      <w:r>
        <w:rPr>
          <w:b/>
        </w:rPr>
        <w:t>E. 2.2.3</w:t>
      </w:r>
    </w:p>
    <w:p>
      <w:r>
        <w:t>Der Gesetzgeber hat darauf verzichtet, Kriterien für die Erhebung einer Sicherheitsleistung zu definieren und stellt es damit in das Ermessen der Verfahrensleitung der Rechtsmittelinstanz. Die vom Beschwerdeführer verlangte Sicherheitsleistung war den Verhältnissen des Falles durchaus angemessen; einer besonderen Begründung durch die Verfahrensleitung der Vorinstanz bedurfte sie deshalb nicht.</w:t>
      </w:r>
    </w:p>
    <w:p>
      <w:r>
        <w:rPr>
          <w:b/>
        </w:rPr>
        <w:t>E. 2.2.4</w:t>
      </w:r>
    </w:p>
    <w:p>
      <w:r>
        <w:t>Nachdem der Beschwerdeführer die Sicherheitsleistung nicht (fristgerecht) geleistet hat, ist die Vorinstanz in Anwendung von Art. 383 Abs. 2 StPO zu Recht nicht auf die Berufung eingetreten.</w:t>
      </w:r>
    </w:p>
    <w:p>
      <w:r>
        <w:rPr>
          <w:b/>
        </w:rPr>
        <w:t>E. 2.3</w:t>
      </w:r>
    </w:p>
    <w:p>
      <w:r>
        <w:t>Auf die Rüge, dass es mit Art. 29 BV nicht vereinbar sei, dem Privatkläger bei einer strafrechtlich motivierten Berufung die unentgeltliche Prozessführung mangels Mitanfechtung des Zivilpunkts zu verweigern und ihm eine Prozesskaution aufzuerlegen, ist nicht einzugehen.</w:t>
      </w:r>
    </w:p>
    <w:p>
      <w:r>
        <w:t>Die Verweigerung der unentgeltlichen Prozessführung bildet nicht Gegenstand der angefochtenen Verfügung. Ob der Beschwerdeführer die Zwischenverfügung vom 24. Mai 2013 zusammen mit dem Nichteintretensentscheid vom 20. Juni 2013 hätte anfechten können (vgl. Art. 93 Abs. 3 BGG ), bedarf keiner weiteren Erörterung (vgl. auch Urteil 2C_128/2007 vom 17. Oktober 2007, E. 4). Gemäss Art. 42 Abs. 1 und 2 BGG haben Rechtsschriften die Begehren sowie deren Begründung zu enthalten, wobei in gedrängter Form darzulegen ist, inwiefern der angefochtene Akt Recht verletzt. Der Beschwerdeführer stellt nicht den Antrag, dass die Zwischenverfügung vom 24. Mai 2013 aufzuheben und ihm die unentgeltliche Rechtspflege für das Verfahren vor dem Obergericht des Kantons Zug zu bewilligen sei. Ebenso wenig führt er aus, inwiefern die Nichtgewährung der unentgeltlichen Rechtspflege mit Art. 29 BV nicht vereinbar sein soll. Diesbezüglich genügt seine Beschwerde vom 26. August 2013 den Anforderungen von Art. 42 Abs. 1 und 2 BGG nicht.</w:t>
      </w:r>
    </w:p>
    <w:p>
      <w:r>
        <w:t>Im Übrigen sind Bundesgesetze für das Bundesgericht und die anderen rechtsanwendenden Behörden nach Art. 190 BV massgebend, sodass die Vereinbarkeit von Art. 136 StPO (Voraussetzungen für die Gewährung der unentgeltlichen Rechtspflege für die Privatklägerschaft) mit der vom Beschwerdeführer angerufenen verfassungsrechtlichen Bestimmung von Art. 29 BV (allgemeine Verfahrensgarantien) nicht zu überprüfen ist.</w:t>
      </w:r>
    </w:p>
    <w:p>
      <w:r>
        <w:rPr>
          <w:b/>
        </w:rPr>
        <w:t>E. 3</w:t>
      </w:r>
    </w:p>
    <w:p>
      <w:r>
        <w:t>Die Beschwerde ist abzuweisen, soweit darauf eingetreten werden kann. Bei diesem Ausgang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