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6B_814/2011 vom 30. August 2012</w:t>
      </w:r>
    </w:p>
    <w:p>
      <w:r>
        <w:t>Bundesgericht, 2012-08-30, FR</w:t>
      </w:r>
    </w:p>
    <w:p>
      <w:r>
        <w:rPr>
          <w:b/>
        </w:rPr>
        <w:t xml:space="preserve">Quelle: </w:t>
      </w:r>
      <w:r>
        <w:t>https://mcp.opencaselaw.ch/entscheid/bger_6B_814_2011</w:t>
      </w:r>
    </w:p>
    <w:p>
      <w:r>
        <w:t>FR: TF 6B_814/2011 du 30 août 2012</w:t>
      </w:r>
    </w:p>
    <w:p>
      <w:r>
        <w:t>IT: TF 6B_814/2011 del 30 agosto 2012</w:t>
      </w:r>
    </w:p>
    <w:p>
      <w:pPr>
        <w:pStyle w:val="Heading2"/>
      </w:pPr>
      <w:r>
        <w:t>Erwägungen</w:t>
      </w:r>
    </w:p>
    <w:p>
      <w:r>
        <w:rPr>
          <w:b/>
        </w:rPr>
        <w:t>E. 1</w:t>
      </w:r>
    </w:p>
    <w:p>
      <w:r>
        <w:t>En tant qu'il est interjeté contre la décision déniant la récusation du Président de la juridiction cantonale ayant rendu l'arrêt au fond, le recours en matière pénale est ouvert ( art. 92 al. 1 LTF ).</w:t>
      </w:r>
    </w:p>
    <w:p>
      <w:r>
        <w:rPr>
          <w:b/>
        </w:rPr>
        <w:t>E. 2</w:t>
      </w:r>
    </w:p>
    <w:p>
      <w:r>
        <w:t>Contrairement à ce que le Ministère public et l'intimé laissent entendre, l'arrêt 1B_623/2011 du 28 novembre 2011 rendu dans la présente affaire par le Tribunal fédéral est sans incidence sur le sort du recours formé contre la décision sur récusation, en tant qu'il portait sur la légitimité de la mise en détention du recourant pour des motifs de sûreté ordonnée par la Chambre pénale d'appel et non sur l'éventuelle prévention du Président de celle-ci. A cette occasion, le Tribunal fédéral a d'ailleurs expressément souligné que la question de la récusation du Président A.________ sortait du cadre de la contestation dont il se trouvait alors saisi (cf. arrêt 1B_623/2011 du 28 novembre 2011 consid. 1).</w:t>
      </w:r>
    </w:p>
    <w:p>
      <w:r>
        <w:rPr>
          <w:b/>
        </w:rPr>
        <w:t>E. 3</w:t>
      </w:r>
    </w:p>
    <w:p>
      <w:r>
        <w:t>Dans la mesure où le recourant met en cause l'apparition d'un motif de détention nouveau au cours de la procédure d'appel (cf. partie « I./EN FAIT » du recours), il critique le bien-fondé de sa mise en détention pour des motifs de sûreté. Ces considérations - sur lesquelles le Tribunal fédéral a statué aux termes de l'arrêt précité (cf. consid. 2 supra) - vont au-delà de l'objet du litige circonscrit à la question de l'éventuelle récusation du Président A.________. Elles sont irrecevables.</w:t>
      </w:r>
    </w:p>
    <w:p>
      <w:r>
        <w:rPr>
          <w:b/>
        </w:rPr>
        <w:t>E. 4.1</w:t>
      </w:r>
    </w:p>
    <w:p>
      <w:r>
        <w:t>Le recourant se plaint de violation des art. 30 al. 1 Cst. , 6 par. 1 CEDH et 56 let. f CPP. En bref, il fait valoir qu'en invoquant la peine encourue en appel comme nouveau motif de détention après avoir entendu le Ministère public et les avocats de ses coaccusés et avant de lui accorder la parole, le Président A.________ a donné l'apparence d'une prévention. De même, en retenant que le risque de fuite justifiant sa mise en détention pour des motifs de sûreté était accru par la sanction requise en appel, il a procédé à un examen se confondant avec celui de la culpabilité, en violation de la garantie d'un juge impartial.</w:t>
      </w:r>
    </w:p>
    <w:p>
      <w:r>
        <w:rPr>
          <w:b/>
        </w:rPr>
        <w:t>E. 4.2.1</w:t>
      </w:r>
    </w:p>
    <w:p>
      <w:r>
        <w:t>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136 III 605 consid. 3.2.1 p. 608; 134 I 20 consid. 4.2 p. 21; 134 I 238 consid. 2.1 p. 240 et les arrêts cités; 131 I 24 consid. 1.1 p. 25). Les motifs de récusation mentionnés à l' art. 56 CPP concrétisent ces garanties. La récusation d'un magistrat s'impose en particulier lorsque certains motifs, notamment un rapport d'amitié étroit ou d'inimitié avec une partie ou son conseil, sont de nature à le rendre suspect de prévention ( art. 56 let . f CPP). Cette dernière disposition a la portée d'une clause générale (cf. arrêt 6B_621/2011 du 19 décembre 2011 consid. 2.2 et les réf. cit.).</w:t>
      </w:r>
    </w:p>
    <w:p>
      <w:r>
        <w:t>Le fait que le juge a déjà participé à l'affaire à un stade antérieur de la procédure peut éveiller le soupçon de partialité. La jurisprudence a toutefois renoncé à résoudre une fois pour toute la question de savoir si le cumul des fonctions contrevient ou non aux art. 30 al. 1 Cst. et 6 par. 1 CEDH ( ATF 131 I 113 consid. 3.4 p. 117; 114 Ia 50 consid. 3d p. 57 ss et les arrêts cités).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 ATF 131 I 24 consid. 1.1 et la jurisprudence citée).</w:t>
      </w:r>
    </w:p>
    <w:p>
      <w:r>
        <w:t>En matière de procédure pénale, le Tribunal fédéral a été amené à se prononcer sur la compatibilité de certaines situations avec les art. 30 al. 1 Cst. et 6 par. 1 CEDH. Il a sanctionné le cumul des fonctions de juge du renvoi et de juge du fond ( ATF 114 Ia 50 consid. 4 et 5 p. 60 ss), ainsi que de juge du mandat de répression et de juge du fond ( ATF 114 Ia 143 consid. 7b p. 151 ss). En revanche, le rejet d'une demande d'assistance judiciaire pour défaut de chances de succès ne constitue pas un motif suffisant pour obtenir la récusation du juge du fond ( ATF 131 I 113 consid. 3.7 p. 120). Le Tribunal fédéral n'a pas non plus condamné l'union personnelle du juge de la détention et du juge du fond, les questions à résoudre étant suffisamment distinctes ( ATF 117 Ia 182 consid. 3b p. 184 ss).</w:t>
      </w:r>
    </w:p>
    <w:p>
      <w:r>
        <w:t>Sur cette question particulière, le Tribunal fédéral a exposé que le fait que le juge du fond ait eu précédemment à s'occuper de la cause ne constitue pas à lui seul un motif de récusation, du moins lorsque les problèmes de fait et de droit soulevés restent entiers. En d'autres termes, il n'y a pas d'inconvénient à la participation à l'audience de jugement du magistrat compétent pour se prononcer sur la détention préventive lorsque l'issue du procès reste suffisamment incertaine pour qu'il n'y ait pas apparence de prévention. Il faut donc se demander quelles sont les compétences de l'un et de l'autre. Le juge de la détention doit examiner s'il se justifie d'ordonner celle-ci ou de la prolonger, soit s'il existe à la charge du prévenu des charges suffisantes de la commission d'une infraction (dringender Tatverdacht) et s'il présente un danger pour la sécurité et l'ordre public, un risque de fuite ou de collusion. Il incombe en revanche au juge du fond de déterminer si l'accusé s'est bien rendu coupable des faits qui lui sont reprochés et, en cas de réponse affirmative, quelle peine il y a lieu de lui infliger. La différence essentielle est que le juge de la détention préventive n'a pas à se prononcer sur le degré de culpabilité du délinquant. On ne saurait donc affirmer que dans les cas où le juge du fond a eu à se prononcer sur le problème de la détention préventive, le sort de l'accusé apparaît scellé ou du moins qu'il y a risque de prévention. Il suit de là qu'en principe, il n'apparaît pas contraire à la Constitution et à la Convention que le même magistrat exerce les deux fonctions.</w:t>
      </w:r>
    </w:p>
    <w:p>
      <w:r>
        <w:rPr>
          <w:b/>
        </w:rPr>
        <w:t>E. 4.2.2</w:t>
      </w:r>
    </w:p>
    <w:p>
      <w:r>
        <w:t>A l'instar de la jurisprudence du Tribunal fédéral, la jurisprudence de la Cour européenne des droits de l'homme (CourEDH) n'a jamais considéré que l'union personnelle du juge de la détention et du juge du fond était d'emblée contraire à l' art. 6 par. 1 CEDH et rendait ainsi le juge récusable, réaffirmant récemment que le fait qu'un juge ait pris des décisions avant le procès, notamment au sujet de la détention provisoire, ne justifie pas des appréhensions quant à son impartialité (cf. arrêt de la CourEDH Alony Kate contre Espagne du 17 janvier 2012 cf. § 52; voir également les arrêts de la CourEDH Hauschildt contre Danemark du 24 mai 1989 § 50 et Sainte-Marie contre France du 16 décembre 1992 § 32). La question portant sur le placement en détention provisoire ne se confond pas avec la question portant sur la culpabilité de l'intéressé. On ne saurait assimiler des soupçons à un constat formel de culpabilité, même si des circonstances particulières peuvent, dans une affaire donnée, mener à une conclusion différente (arrêt de la CourEDH Cardona Serrat contre Espagne du 26 octobre 2010 § 31). La CourEDH a en particulier admis des doutes quant à l'impartialité du tribunal incompatible avec l' art. 6 CEDH dans le cas d'un juge danois, également chargé du fond de l'affaire, qui s'était préalablement prononcé sur la détention provisoire, laquelle était subordonnée à la condition légale de l'existence de "soupçons particulièrement renforcés" que le prévenu ait commis l'infraction (arrêt de la CourEDH Hauschildt c. Danemark du 24 mai 1989 § 50-52).</w:t>
      </w:r>
    </w:p>
    <w:p>
      <w:r>
        <w:rPr>
          <w:b/>
        </w:rPr>
        <w:t>E. 4.2.3</w:t>
      </w:r>
    </w:p>
    <w:p>
      <w:r>
        <w:t>Au vu de la jurisprudence du Tribunal fédéral et de la CourEDH qui considère qu'il faut trancher de cas en cas, la doctrine, divisée sur la question de la compatibilité du cumul des fonctions du juge de la détention et du juge du fond, en particulier de la compatibilité de l' art. 232 CPP avec l' art. 6 par. 1 CEDH , n'apporte pas d'éclairage déterminant. Certains auteurs semblent critiques (PIQUEREZ/MACALUSO, Procédure pénale suisse, 3ème édition, n° 650 p. 22; FRANÇOIS PAYCHÈRE, Privation de liberté et pouvoirs du juge d'appel : vers un conflit entre la CEDH et le nouveau CPP suisse ? in SJ 2009 II 292; ALAIN MACALUSO, Quelques aspects des procédures relatives à la détention avant jugement dans le CPP suisse, in forum poenale 2011, p. 313 ss, spéc. 319/320; RICHARD CALAME, in Commentaire romand, Code de procédure pénale suisse, 2011, n° 3 ad art. 388 CPP qui affirme à tort que selon la jurisprudence établie, le juge de fond ne peut être identique au juge de la détention). D'autres tiennent un tel cumul pour conforme à l' art. 6 CEDH au vu de l'examen sommaire des charges effectué pour la mise en détention et autant que le juge se limite à un tel examen (MARKUS BOOG, Basler Kommentar, Schweizerische Strafprozessordnung, 2011, n° 27 ad art. 56 CPP avec renvoi à l'arrêt 117 Ia 182 du 21 août 1991; MARTIN ZIEGLER, ibidem, n° 1 ad art. 388 CPP ; GOLDSCHMID/MAURER/SOLLBERGER Kommentierte Textausgabe zur Schweizerischen Strafprozessordnung [StPO] vom 5. Oktober 2007, 2008, p. 47 avec renvoi à la décision de la CourEDH Hauschildt c. Dänemark; DANIEL LOGOZ, Commentaire romand, Code de procédure pénale suisse, n° 2 ad art. 232 CPP ; ANDREAS J. KELLER, in Kommentar zur Schweizerischen Strafprozessordnung [StPO], 2010, n° 34 ad art. 56 CPP ; NIKLAUS SCHMID, Handbuch des schweizerischen Strafprozessrechts, 2009, n° 514, p. 198; REGINA KIENER, Richterliche Unabhängigkeit, 2001, p. 155 ss; FRÉDÉRIC SUDRE, Droit européen et international des droits de l'homme, Paris, 2011 p. 441; ROBERT LEVI, Zum Einfluss der Europäischen Menschenrechtskonvention auf das kantonale Prozessrecht - Erwartungen und Ergebnisse, in RPS 106/1989, p. 233).</w:t>
      </w:r>
    </w:p>
    <w:p>
      <w:r>
        <w:rPr>
          <w:b/>
        </w:rPr>
        <w:t>E. 4.3</w:t>
      </w:r>
    </w:p>
    <w:p>
      <w:r>
        <w:t>Au cours des débats tenus le 29 septembre 2011, le Président A.________ a décerné, après les plaidoiries, un mandat d'amener à l'encontre du recourant en vue d'une éventuelle décision de détention pour des motifs de sûreté, considérant que le risque de fuite était accru par la peine encourue. La détention pour des motifs de sûreté en tant que telle n'a été ordonnée que le 30 septembre suivant, lors de l'ouverture en séance publique du dispositif de l'arrêt au fond. Il convient ainsi de distinguer entre le mandat d'amener décerné par le Président A.________ sur la base de l' art. 232 al. 1 CPP et la décision de détention ordonnée en application de l' art. 232 al. 2 CPP par la Chambre pénale d'appel subséquemment au verdict de culpabilité. Le recours formé contre cette décision a été rejeté par le Tribunal fédéral qui a admis l'existence d'un risque de fuite (arrêt 1B_623/2011). En d'autres termes, il s'agit de déterminer si la décision de la direction de la procédure de décerner un mandat d'amener - qui ne s'apparente pas encore à une décision formelle de mise en détention pour des motifs de sûreté - lors des débats d'appel a pour conséquence d'entraîner la récusation du magistrat qui l'a rendue si celui-ci participe ensuite à la décision sur le fond.</w:t>
      </w:r>
    </w:p>
    <w:p>
      <w:r>
        <w:rPr>
          <w:b/>
        </w:rPr>
        <w:t>E. 4.4</w:t>
      </w:r>
    </w:p>
    <w:p>
      <w:r>
        <w:t>Selon l' art. 232 al. 1 CPP , la direction de la procédure fait amener immédiatement le prévenu par la police et l'interroge si des motifs de détention n'apparaissent que pendant la procédure devant la juridiction d'appel. En d'autres termes, la direction de la procédure décerne un mandat d'amener.</w:t>
      </w:r>
    </w:p>
    <w:p>
      <w:r>
        <w:t>Les conditions présidant à la délivrance d'un mandat d'amener sont prévues à l' art. 207 al. 1 CPP . En particulier, si un motif de détention pour des motifs de sûreté survient pendant la procédure d'appel, la direction de la procédure peut décerner un mandat d'amener à condition que la personne concernée soit fortement soupçonnée d'avoir commis un crime ou un délit et qu'il y ait lieu de présumer des motifs de détention à l'encontre de celle-ci ( art. 207 al. 1 let . d CPP). En tant que l' art. 207 al. 1 let . d CPP pose comme préalable à la délivrance d'un mandat d'amener que le prévenu soit fortement soupçonné d'avoir commis un crime ou un délit, ses conditions d'application semblent se recouper avec celles auxquelles l' art. 221 al. 1 CPP subordonne la détention pour des motifs de sûreté. Selon cette dernière disposition, la détention pour des motifs de sûreté ne peut notamment être ordonnée qu'à la condition que le prévenu soit fortement soupçonné d'avoir commis un crime ou un délit. Pour autant, la délivrance d'un mandat d'amener et la décision sur la détention pour des motifs de sûreté n'assujettissent pas le juge au même pouvoir d'examen.</w:t>
      </w:r>
    </w:p>
    <w:p>
      <w:r>
        <w:t>Décerné en principe par écrit, le mandat d'amener peut l'être oralement en cas d'urgence et à condition d'être confirmé par écrit ( art. 208 al. 1 CPP ). Il contient les mêmes indications que le mandat de comparution ( art. 201 al. 2 CPP ) ainsi que la mention de l'autorisation expresse donnée à la police de recourir à la force si nécessaire et de pénétrer dans les bâtiments, les habitations et les autres locaux non publics pour exécuter le mandat ( art. 208 al. 2 CPP ). Il devra donc désigner l'autorité qui l'a décerné et les personnes qui exécuteront l'acte de procédure, la personne citée à comparaître et la qualité en laquelle elle doit participer à l'acte de procédure, le motif du mandat, pour autant que le but de l'instruction ne s'oppose pas à cette indication, le lieu, la date et l'heure de la comparution, la sommation de se présenter personnellement, les conséquences juridiques d'une absence non excusée, la date de son établissement et la signature de la personne qui l'a décerné ( art. 201 al. 2 CPP ). Dès lors qu'il suffit que le mandat d'amener indique le motif pour lequel il est décerné ( art. 201 al. 2 let . c par renvoi de l'art. 208 al. 2), ses exigences de motivation sont moindres que celles qui président au prononcé d'une décision de détention. En outre, la finalité du mandat d'amener n'est pas la même que celle de la détention pour des motifs de sûreté en ce sens que celui-là vise à assurer la présence du prévenu jusqu'à ce qu'une décision soit prise sur la détention et permet en outre qu'il soit interrogé sur d'éventuels motifs de détention pour respecter son droit d'être entendu. Aucune décision n'est véritablement prise à ce stade sur la détention. En tant que le mandat d'amener constitue l'étape préalable à la future décision de confirmation ou d'infirmation de la détention pour motifs de sûreté, il est le résultat d'un examen très sommaire qui n'est en rien comparable avec celui approfondi auquel les juges de la juridiction du fond se livrent.</w:t>
      </w:r>
    </w:p>
    <w:p>
      <w:r>
        <w:t>En dépit de la terminologie légale qui subordonne la délivrance d'un mandat d'amener à la condition que le prévenu soit fortement soupçonné d'avoir commis un crime ou un délit et qui pourrait donner à penser, abstraitement, que la marge distinguant le prononcé d'un mandat d'amener de l'énoncé d'un verdict de culpabilité est infime, l'examen des circonstances concrètes présidant à l'une et à l'autre décision est fondamentalement différent. La première est très succincte et ne comporte aucune appréciation anticipée de la prévention qui aille si loin que le juge serait tenu par la suite dans l'examen de sa décision au fond par sa précédente appréciation. Pour s'en convaincre, il suffit de lire en l'espèce la motivation du mandat d'amener qui tient en trois lignes : « l'apparition de motif de détention nouveau en lien avec des charges qui se sont alourdies durant l'instruction du jugement d'appel, le risque de fuite étant accru par la peine risquant d'être prononcée ». A l'instar des principes posés par la jurisprudence du Tribunal fédéral et de la CourEDH, on ne saurait considérer que les soupçons fondant la délivrance d'un mandat d'amener en vue d'une éventuelle détention dans l'attente du jugement au fond sont assimilables à un constat de culpabilité. Dans ce dernier cas, les magistrats examinent la réalisation des conditions objectives et subjectives d'une infraction. S'agissant d'établir la culpabilité de l'auteur, ils prennent en considération les antécédents et la situation personnelle de l'auteur ainsi que l'effet de la peine sur son avenir ( art. 47 al. 1 CP ). La culpabilité elle-même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 art. 47 al. 2 CP ). L'ensemble de ces éléments n'est pas examiné à l'énoncé d'un mandat d'amener, la condition que le détenu soit fortement soupçonné d'avoir commis un crime ou un délit servant strictement à éviter la délivrance arbitraire de tels mandats. L'appréciation par la direction de la procédure des conditions posées au prononcé d'un mandat d'amener ne se confond ainsi nullement avec l'examen de la culpabilité du recourant.</w:t>
      </w:r>
    </w:p>
    <w:p>
      <w:r>
        <w:rPr>
          <w:b/>
        </w:rPr>
        <w:t>E. 4.5</w:t>
      </w:r>
    </w:p>
    <w:p>
      <w:r>
        <w:t>Au demeurant, il est constant qu'après avoir clôturé la procédure probatoire, le Président A.________ a fait procéder aux plaidoiries des cinq coprévenus et de la partie plaignante avant de donner la parole au Ministère public - lequel a requis une peine privative de liberté de cinq ans à l'encontre du recourant - puis aux quatre coprévenus du recourant qui ont répliqué. C'est alors que le magistrat a déclaré qu'il entendait faire application de l' art. 232 al. 1 CPP « au motif de l'apparition de motif de détention nouveau en lien avec les charges qui se sont alourdies durant l'instruction de jugement, le risque de fuite étant accru par la peine risquant d'être prononcée ». Ce faisant, il s'est borné à prononcer les mesures nécessaires à la sauvegarde des conclusions prises à l'issue des débats d'appel par le Ministère public. Pour autant, il n'a procédé à aucune évaluation de la culpabilité, respectivement de la peine imputable au recourant.</w:t>
      </w:r>
    </w:p>
    <w:p>
      <w:r>
        <w:rPr>
          <w:b/>
        </w:rPr>
        <w:t>E. 4.6</w:t>
      </w:r>
    </w:p>
    <w:p>
      <w:r>
        <w:t>Il s'ensuit que ni la délivrance d'un mandat d'amener par le Président A.________, pas plus que les circonstances concrètes dans lesquelles celui-là a été décerné, n'ont donné l'apparence de prévention et constitué un motif de récusation. Le grief se révèle mal fondé.</w:t>
      </w:r>
    </w:p>
    <w:p>
      <w:r>
        <w:rPr>
          <w:b/>
        </w:rPr>
        <w:t>E. 5</w:t>
      </w:r>
    </w:p>
    <w:p>
      <w:r>
        <w:t>Bien qu'il soit rejeté, le recours n'apparaissait pas d'emblée voué à l'échec. Il convient dès lors de mettre le recourant au bénéfice de l'assistance judiciaire ( art. 64 al. 1 LTF ), de désigner Me Jean-Pierre Garbade comme avocat d'office et d'allouer à celui-ci une indemnité à titre d'honoraires, qui seront supportés par la caisse du Tribunal fédéral ( art. 64 al. 2 LTF ). Il n'y a pas lieu d'allouer de dépens au Ministère public ( art. 68 al. 3 LTF ). L'intimé, qui a été invité à se déterminer, a droit à une indemnité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