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6B_813/2020 vom 22. Juli 2020</w:t>
      </w:r>
    </w:p>
    <w:p>
      <w:r>
        <w:t>Bundesgericht, 2020-07-22, FR</w:t>
      </w:r>
    </w:p>
    <w:p>
      <w:r>
        <w:rPr>
          <w:b/>
        </w:rPr>
        <w:t xml:space="preserve">Quelle: </w:t>
      </w:r>
      <w:r>
        <w:t>https://mcp.opencaselaw.ch/entscheid/bger_6B_813_2020</w:t>
      </w:r>
    </w:p>
    <w:p>
      <w:r>
        <w:t>FR: TF 6B_813/2020 du 22 juillet 2020</w:t>
      </w:r>
    </w:p>
    <w:p>
      <w:r>
        <w:t>IT: TF 6B_813/2020 del 22 luglio 2020</w:t>
      </w:r>
    </w:p>
    <w:p>
      <w:pPr>
        <w:pStyle w:val="Heading2"/>
      </w:pPr>
      <w:r>
        <w:t>Erwägungen</w:t>
      </w:r>
    </w:p>
    <w:p>
      <w:r>
        <w:rPr>
          <w:b/>
        </w:rPr>
        <w:t>E. 1.1</w:t>
      </w:r>
    </w:p>
    <w:p>
      <w:r>
        <w:t>L' 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Les faits ou moyens de preuves invoqués doivent ainsi être nouveaux et sérieux. Les faits ou moyens de preuves sont inconnus lorsque le juge n'en a pas eu connaissance au moment où il s'est prononcé, c'est-à-dire lorsqu'ils ne lui ont pas été soumis sous quelque forme que ce soit ( ATF 137 IV 59 consid. 5.1.2 p. 66 s.). Ils sont sérieux lorsqu'ils sont propres à ébranler les constatations de fait sur lesquelles se fonde la condamnation et que l'état de fait ainsi modifié rend possible un jugement sensiblement plus favorable au condamné ( ATF 145 IV 197 consid. 1.1 p. 199; 137 IV 59 consid. 5.1.4 p. 68).</w:t>
      </w:r>
    </w:p>
    <w:p>
      <w:r>
        <w:t>La procédure du rescindant instituée par le CPP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w:t>
      </w:r>
    </w:p>
    <w:p>
      <w:r>
        <w:t>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p. 129; arrêt 6B_297/2020 du 10 juillet 2020 consid. 1.1.2), ou encore lorsque la demande de révision apparaît abusive (arrêt 6B_297/2020 précité consid. 1.1.2 et les références citées).</w:t>
      </w:r>
    </w:p>
    <w:p>
      <w:r>
        <w:t>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 ATF 145 IV 197 consid. 1.1 p. 199; 130 IV 72 consid. 2.3 p. 75 s.; arrêt 6B_1061/2019 du 28 mai 2020 consid. 3.3).</w:t>
      </w:r>
    </w:p>
    <w:p>
      <w:r>
        <w:t>L'abus de droit ne sera cependant admis qu'avec retenue. Il s'agit, dans chaque cas d'examiner, au regard des circonstances de l'espèce, si la demande tend à contourner les voies de droit ordinaires ( ATF 145 IV 197 consid. 1.1 p. 199; 130 IV 72 consid. 2.2 p. 74 et consid. 2.4 p. 76; arrêt 6B_1061/2019 précité consid. 3.3).</w:t>
      </w:r>
    </w:p>
    <w:p>
      <w:r>
        <w:rPr>
          <w:b/>
        </w:rPr>
        <w:t>E. 1.2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Le Tribunal fédéral n'entre pas en matière sur les critiques de nature appellatoire ( ATF 145 IV 154 consid. 1.1 p. 155 s. et les références citées).</w:t>
      </w:r>
    </w:p>
    <w:p>
      <w:r>
        <w:rPr>
          <w:b/>
        </w:rPr>
        <w:t>E. 1.3</w:t>
      </w:r>
    </w:p>
    <w:p>
      <w:r>
        <w:t>La cour cantonale a exposé que, à l'appui de sa demande de révision, le recourant s'était plaint de diverses violations du droit comprises dans les ordonnances pénales concernées. Ce dernier avait par ailleurs indiqué qu'il avait souffert, à l'époque des faits - soit entre début 2016 et juin 2017 -, de problèmes psychiques en lien avec sa toxicodépendance, lesquels auraient impacté la gestion de ses affaires courantes et l'auraient empêché de faire valoir ses droits. L'intéressé s'était prévalu d'une attestation médicale du 4 février 2020, selon laquelle il aurait présenté "depuis début 2016 des difficultés psychiques importantes, et ce jusqu'à la fin de son suivi [...] en juin 2017". Il ressortait également dudit certificat que l'intéressé se serait trouvé, durant cette période, "dans l'impossibilité de gérer ses affaires administratives de façon adéquate".</w:t>
      </w:r>
    </w:p>
    <w:p>
      <w:r>
        <w:t>Pour l'autorité précédente, si l'état de santé du recourant était inconnu des autorités pénales l'ayant condamné à l'époque des faits, celui-ci était en revanche connu du recourant, qui aurait dû s'en prévaloir dans le cadre d'oppositions aux diverses ordonnances pénales en question. Dès lors que le recourant avait été en mesure de consulter un avocat en vue du dépôt de sa demande de révision, il aurait pu le faire plus tôt, lorsque les ordonnances pénales litigieuses avaient été rendues, les difficultés médicales de l'intéressé n'ayant été attestées que jusqu'en juin 2017. De toute manière, le certificat médical produit par le médecin traitant du recourant était d'une valeur probante toute relative. Il ne portait que sur une période limitée, ne couvrant pas intégralement l'époque au cours de laquelle le recourant avait été sanctionné par des ordonnances pénales. En outre, l'incapacité à gérer les affaires administratives dont il était fait état dans ce document aurait dû, sur une aussi longue période, conduire à l'instauration d'une mesure de curatelle, que le recourant ne prétendait pas avoir sollicitée. En définitive, la demande de révision n'avait été déposée qu'en réaction à la convocation issue de l'Office d'exécution des peines. Celle-ci devait, partant, être qualifiée d'abusive. La cour cantonale a donc déclaré la demande de révision irrecevable en application de l' art. 412 al. 2 CPP .</w:t>
      </w:r>
    </w:p>
    <w:p>
      <w:r>
        <w:rPr>
          <w:b/>
        </w:rPr>
        <w:t>E. 1.4</w:t>
      </w:r>
    </w:p>
    <w:p>
      <w:r>
        <w:t>Le recourant soutient en substance que son état de santé depuis 2016 ne lui aurait pas permis de consulter un avocat ni de demander une mesure de curatelle. Il ajoute qu'il n'a la garde de ses enfants que depuis septembre 2019, ce qui démontrerait qu'il n'aurait pas été en mesure, au préalable, de s'en occuper en raison de sa toxicodépendance.</w:t>
      </w:r>
    </w:p>
    <w:p>
      <w:r>
        <w:t>L'argumentation du recourant est appellatoire et, partant, irrecevable. Celui-ci affirme qu'il n'aurait pas été en mesure, durant la période considérée, de réclamer la moindre aide ni de s'opposer d'une quelconque manière aux ordonnances pénales rendues contre lui, sans démontrer en quoi il aurait été insoutenable, pour l'autorité précédente, de retenir que le certificat médical du 4 février 2020 ne permettait aucunement de retenir l'existence d'un état de santé si précaire. Au demeurant, le certificat en question, établi des années après les faits, fait état des difficultés rencontrées par le recourant en lien avec son traitement à la méthadone et porte l'appréciation du médecin traitant de l'intéressé sur sa capacité à "gérer ses affaires administratives de façon adéquate" (cf. certificat du 4 février 2020, dossier cantonal). L'autorité précédente pouvait, sans arbitraire, considérer qu'un tel document ne permettait aucunement de conclure à une prétendue capacité de discernement "fortement diminuée". Il en va de même s'agissant du rapport du 6 avril 2020 du Service de protection de la jeunesse. Le fait que le recourant n'eût pas - durant la période concernée - la garde de ses enfants ne signifie nullement que celui-ci aurait été incapable de demander de l'aide dans le cadre des procédures pénales ouvertes à son encontre.</w:t>
      </w:r>
    </w:p>
    <w:p>
      <w:r>
        <w:t>Par ailleurs, comme l'a relevé la cour cantonale, la demande de révision n'a pas fait suite à l'amélioration de la situation du recourant - lequel a notamment récupéré la garde de ses enfants dès septembre 2019 -, mais plutôt à la réception de l'ordre d'exécution des peines du 22 avril 2020. C'est ainsi à bon droit que l'autorité précédente a qualifié cette demande de révision d'abusive.</w:t>
      </w:r>
    </w:p>
    <w:p>
      <w:r>
        <w:t>Pour le reste, l'argumentation du recourant est hors de propos dans la mesure où elle porte sur l'opportunité de faire désormais exécuter des peines privatives de liberté au regard de sa réinsertion sociale, puisque cet aspect n'était pas l'objet de la présente procédure. Il en va de même lorsque le recourant évoque les modifications dans son existence survenues après ses condamnations par ordonnances pénales, de tels éléments ne constituant pas des faits nouveaux au sens de l' art. 410 al. 1 let. a CPP (cf. ATF 145 IV 383 consid. 2.3 p. 399; arrêt 6B_731/2020 du 1er juillet 2020 consid. 2.3).</w:t>
      </w:r>
    </w:p>
    <w:p>
      <w:r>
        <w:t>Au vu de ce qui précède, c'est à juste titre que la cour cantonale a déclaré irrecevable la demande de révision du recourant.</w:t>
      </w:r>
    </w:p>
    <w:p>
      <w:r>
        <w:rPr>
          <w:b/>
        </w:rPr>
        <w:t>E. 2</w:t>
      </w:r>
    </w:p>
    <w:p>
      <w:r>
        <w:t>Le recours doit être rejeté dans la mesure où il est recevable. Comme ses conclusions étaient vouées à l'échec, l'assistance judiciaire ne peut être accordée ( art. 64 al. 1 LTF ). Le recourant devra donc supporter les frais ( art. 66 al. 1 LTF ), dont le montant sera fixé en tenant compte de sa situation financière.</w:t>
      </w:r>
    </w:p>
    <w:p>
      <w:r>
        <w:t>La cause étant jugée, la demande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