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6B_813/2013 vom 17. März 2014</w:t>
      </w:r>
    </w:p>
    <w:p>
      <w:r>
        <w:t>Bundesgericht, 2014-03-17, FR</w:t>
      </w:r>
    </w:p>
    <w:p>
      <w:r>
        <w:rPr>
          <w:b/>
        </w:rPr>
        <w:t xml:space="preserve">Quelle: </w:t>
      </w:r>
      <w:r>
        <w:t>https://mcp.opencaselaw.ch/entscheid/bger_6B_813_2013</w:t>
      </w:r>
    </w:p>
    <w:p>
      <w:r>
        <w:t>FR: TF 6B_813/2013 du 17 mars 2014</w:t>
      </w:r>
    </w:p>
    <w:p>
      <w:r>
        <w:t>IT: TF 6B_813/2013 del 17 marzo 2014</w:t>
      </w:r>
    </w:p>
    <w:p>
      <w:pPr>
        <w:pStyle w:val="Heading2"/>
      </w:pPr>
      <w:r>
        <w:t>Erwägungen</w:t>
      </w:r>
    </w:p>
    <w:p>
      <w:r>
        <w:rPr>
          <w:b/>
        </w:rPr>
        <w:t>E. 1</w:t>
      </w:r>
    </w:p>
    <w:p>
      <w:r>
        <w:t>Par arrêt du 21 juin 2013 notifié à X.________ le 28 juin suivant, la Chambre pénale d'appel et de révision de la Cour de justice de la République et canton de Genève a déclaré la demande de révision formée contre son arrêt AARP/436/2012 du 30 novembre 2012 irrecevable pour le motif que la procédure sujette à révision portait sur une question de frais de procédure. X.________ interjette un recours au Tribunal fédéral contre l'arrêt cantonal du 21 juin 2013. Dans ce cadre, elle requiert le bénéfice de l'assistance judiciaire.</w:t>
      </w:r>
    </w:p>
    <w:p>
      <w:r>
        <w:rPr>
          <w:b/>
        </w:rPr>
        <w:t>E. 2</w:t>
      </w:r>
    </w:p>
    <w:p>
      <w:r>
        <w:t>Le Tribunal fédéral examine librement et d'office les conditions de recevabilité des recours qui lui sont soumis ( ATF 138 III 46 consid. 1 p. 46).</w:t>
      </w:r>
    </w:p>
    <w:p>
      <w:r>
        <w:rPr>
          <w:b/>
        </w:rPr>
        <w:t>E. 2.1</w:t>
      </w:r>
    </w:p>
    <w:p>
      <w:r>
        <w:t>Conformément à l' art. 100 al. 1 LTF , le recours contre une décision doit être déposé devant le Tribunal fédéral dans les 30 jours qui suivent la notification de l'expédition complète. Cela étant, les écritures que la recourante a adressées au Tribunal fédéral les 17 et 26 septembre 2013, l'ont été après l'échéance du délai de recours, de sorte qu'elles sont irrecevables (cf. art. 100 al. 1 et art. 46 al. 1 let. b LTF ).</w:t>
      </w:r>
    </w:p>
    <w:p>
      <w:r>
        <w:rPr>
          <w:b/>
        </w:rPr>
        <w:t>E. 2.2</w:t>
      </w:r>
    </w:p>
    <w:p>
      <w:r>
        <w:t>En outre, les mémoires de recours au Tribunal fédéral doivent indiquer les conclusions, les motifs et les moyens de preuves, et être signés ( art. 42 al. 1 LTF ). En particulier, le recourant doit motiver son recours en exposant succinctement en quoi la décision attaquée viole le droit (cf. art. 42 al. 2 LTF ). En l'occurrence, le recours ne contient aucune conclusion et ne démontre pas en quoi l'irrecevabilité prononcée par l'arrêt attaqué violerait le droit. Il ne satisfait donc pas aux exigences formelles prévues à l' art. 42 LTF , de sorte qu'il doit être écarté en application de l' art. 108 al. 1 let. b LTF .</w:t>
      </w:r>
    </w:p>
    <w:p>
      <w:r>
        <w:rPr>
          <w:b/>
        </w:rPr>
        <w:t>E. 3</w:t>
      </w:r>
    </w:p>
    <w:p>
      <w:r>
        <w:t>Comme les conclusions du recours étaient ainsi d'emblée vouées à l'échec, l'assistance judiciaire ne peut pas être accordée à la recourante ( art. 64 al. 1 LTF ). Celle-ci devra supporter les frais judiciaires ( art. 66 al. 1 LTF ),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