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6B_809/2019 vom 10. September 2019</w:t>
      </w:r>
    </w:p>
    <w:p>
      <w:r>
        <w:t>Bundesgericht, 2019-09-10, FR</w:t>
      </w:r>
    </w:p>
    <w:p>
      <w:r>
        <w:rPr>
          <w:b/>
        </w:rPr>
        <w:t xml:space="preserve">Quelle: </w:t>
      </w:r>
      <w:r>
        <w:t>https://mcp.opencaselaw.ch/entscheid/bger_6B_809_2019</w:t>
      </w:r>
    </w:p>
    <w:p>
      <w:r>
        <w:t>FR: TF 6B_809/2019 du 10 septembre 2019</w:t>
      </w:r>
    </w:p>
    <w:p>
      <w:r>
        <w:t>IT: TF 6B_809/2019 del 10 settembre 2019</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w:t>
      </w:r>
    </w:p>
    <w:p>
      <w:r>
        <w:rPr>
          <w:b/>
        </w:rPr>
        <w:t>E. 1.2</w:t>
      </w:r>
    </w:p>
    <w:p>
      <w:r>
        <w:t>En l'espèce, la recourante a pris part à la procédure de dernière instance cantonale.</w:t>
      </w:r>
    </w:p>
    <w:p>
      <w:r>
        <w:t>Elle indique qu'elle aurait la qualité pour recourir devant le Tribunal fédéral car la cour cantonale a libéré l'intimé du chef de prévention d'abus de confiance et, en conséquence, de l'obligation de lui payer une indemnité pour ses dépens pénaux.</w:t>
      </w:r>
    </w:p>
    <w:p>
      <w:r>
        <w:t>Comme l'a souvent rappelé le Tribunal fédéral, les prétentions relatives au remboursement de frais d'avocat ne constituent pas des prétentions civiles au sens de l'art. 81 al. 1 let. b ch. 5 LTF (cf. parmi de nombreux arrêts : 6B_317/2019 du 21 mars 2019 consid. 2.2; 6B_1317/2018 du 28 janvier 2019 consid. 2.2).</w:t>
      </w:r>
    </w:p>
    <w:p>
      <w:r>
        <w:t>Compte tenu de ce qui précède, la recourante - qui n'a pris aucune conclusion civile en instance cantonale, alors même que la cause a été jugée sur le fond - n'a pas la qualité pour recourir sur le fond de la cause au sens de l'art. 81 al. 1 let. b ch. 5 LTF.</w:t>
      </w:r>
    </w:p>
    <w:p>
      <w:r>
        <w:rPr>
          <w:b/>
        </w:rPr>
        <w:t>E. 1.3</w:t>
      </w:r>
    </w:p>
    <w:p>
      <w:r>
        <w:t>Dans la mesure où la recourante critique la répartition des frais de la procédure d'appel - au paiement desquels elle a été condamnée -, celle-ci dispose en revanche d'un intérêt juridique à l'annulation ou à la modification de la décision attaquée (cf. ATF 138 IV 248 consid. 2 p. 250).</w:t>
      </w:r>
    </w:p>
    <w:p>
      <w:r>
        <w:rPr>
          <w:b/>
        </w:rPr>
        <w:t>E. 2.1</w:t>
      </w:r>
    </w:p>
    <w:p>
      <w:r>
        <w:t>A teneur de l' art. 428 al. 1 1 ère phrase CPP, les frais de la procédure de recours sont mis à la charge des parties dans la mesure où elles ont obtenu gain de cause ou succombé.</w:t>
      </w:r>
    </w:p>
    <w:p>
      <w:r>
        <w:t>Pour déterminer si une partie succombe ou obtient gain de cause, il faut examiner dans quelle mesure ses conclusions sont admises en deuxième instance.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Comme celui-ci est le mieux placé pour juger de son caractère approprié, le Tribunal fédéral s'impose une certaine retenue. Il n'intervient que si le juge du fond a excédé le large pouvoir d'appréciation qui lui est accordé sur ce point.</w:t>
      </w:r>
    </w:p>
    <w:p>
      <w:r>
        <w:rPr>
          <w:b/>
        </w:rPr>
        <w:t>E. 2.2</w:t>
      </w:r>
    </w:p>
    <w:p>
      <w:r>
        <w:t>La cour cantonale a exposé que l'appel de l'intimé devait être admis et que les frais d'appel devaient être mis à la charge de la recourante, laquelle succombait "entièrement sur ses conclusions". En conséquence, l'autorité précédente a également refusé d'accorder à la recourante une indemnité fondée sur l' art. 433 CPP pour la procédure d'appel.</w:t>
      </w:r>
    </w:p>
    <w:p>
      <w:r>
        <w:rPr>
          <w:b/>
        </w:rPr>
        <w:t>E. 2.3</w:t>
      </w:r>
    </w:p>
    <w:p>
      <w:r>
        <w:t>En l'occurrence, il ressort du jugement attaqué que l'intimé avait, dans le cadre de son appel, conclu à sa libération du chef de prévention d'abus de confiance ainsi qu'à une exemption de peine concernant sa condamnation pour violation grave des règles de la circulation routière. Il en ressort également que la recourante avait quant à elle conclu au rejet de l'appel ainsi qu'à l'octroi de ses "conclusions civiles".</w:t>
      </w:r>
    </w:p>
    <w:p>
      <w:r>
        <w:t>Dans le jugement attaqué, la cour cantonale a consacré un peu plus de trois pages au traitement du grief relatif au chef de prévention d'abus de confiance, et un peu plus de deux pages à celui concernant l'exemption de peine ensuite de la condamnation pour violation grave des règles de la circulation routière.</w:t>
      </w:r>
    </w:p>
    <w:p>
      <w:r>
        <w:t>On comprend donc, malgré l'indication comprise dans le jugement attaqué selon laquelle l'appel était "admis", que l'intimé n'a en réalité obtenu que partiellement gain de cause, puisqu'il n'a pas été exempté de peine en relation avec l'infraction de violation grave des règles de la circulation routière. La cour cantonale, comme elle l'a d'ailleurs reconnu dans ses déterminations, ne pouvait donc mettre l'intégralité des frais d'appel à charge de la recourante.</w:t>
      </w:r>
    </w:p>
    <w:p>
      <w:r>
        <w:t>En revanche, la recourante ne démontre pas en quoi la cour cantonale aurait violé le droit fédéral en mettant à sa charge les frais d'appel relatifs au chef de prévention d'abus de confiance, aspect à raison duquel elle a pris part à la procédure d'appel et a succombé dans ses conclusions. Par ailleurs, elle se méprend lorsqu'elle soutient que la cour cantonale aurait dû lui accorder une indemnité à titre de l' art. 433 CPP , puisqu'elle a intégralement succombé s'agissant du seul volet de la procédure d'appel - soit l'infraction d'abus de confiance - pour lequel elle disposait d'un intérêt juridiquement protégé à la confirmation de la décision attaquée lui permettant de prendre part à la procédure.</w:t>
      </w:r>
    </w:p>
    <w:p>
      <w:r>
        <w:rPr>
          <w:b/>
        </w:rPr>
        <w:t>E. 2.4</w:t>
      </w:r>
    </w:p>
    <w:p>
      <w:r>
        <w:t>En définitive, le recours doit être admis s'agissant de la question des frais d'appel. La cour cantonale a, dans ses déterminations, indiqué que l'essentiel de l'instruction et du jugement d'appel avait concerné l'infraction d'abus de confiance, de sorte qu'il convenait de mettre ¾ des frais de la procédure d'appel - soit 1'845 fr. - à la charge de la recourante, le solde devant être laissé à la charge de l'Etat. La recourante, à qui ces déterminations ont été transmises, n'a présenté aucune remarque concernant la conclusion en réforme formulée par la cour cantonale. On ne voit pas, en l'espèce, pour quels motifs la recourante pourrait s'opposer à la mise à sa charge de ¾ des frais de la procédure d'appel, de sorte qu'un renvoi de la cause à l'autorité cantonale en vue d'une nouvelle répartition desdits frais ne constituerait qu'une étape procédurale superfétatoire. Partant, il se justifie, conformément à l' art. 107 al. 1 1 ère phrase LTF, de réformer le jugement attaqué en ce sens que des frais de procédure d'appel, par 1'845 fr., sont mis à la charge de la recourante, le solde étant laissé à la charge de l'Etat de Vaud.</w:t>
      </w:r>
    </w:p>
    <w:p>
      <w:r>
        <w:rPr>
          <w:b/>
        </w:rPr>
        <w:t>E. 3</w:t>
      </w:r>
    </w:p>
    <w:p>
      <w:r>
        <w:t>Au vu de ce qui précède, le recours doit être très partiellement admis et le jugement attaqué réformé (cf. consid. 2.4 supra). Pour le reste, le recours doit être rejeté dans la faible mesure de sa recevabilité.</w:t>
      </w:r>
    </w:p>
    <w:p>
      <w:r>
        <w:t>La recourante, qui n'obtient que partiellement gain de cause, supporte une partie des frais judiciaires ( art. 66 al. 1 LTF ). Elle peut prétendre à des dépens réduits,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