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6B_808/2015 vom 4. November 2015</w:t>
      </w:r>
    </w:p>
    <w:p>
      <w:r>
        <w:t>Bundesgericht, 2015-11-04, DE</w:t>
      </w:r>
    </w:p>
    <w:p>
      <w:r>
        <w:rPr>
          <w:b/>
        </w:rPr>
        <w:t xml:space="preserve">Quelle: </w:t>
      </w:r>
      <w:r>
        <w:t>https://mcp.opencaselaw.ch/entscheid/bger_6B_808_2015</w:t>
      </w:r>
    </w:p>
    <w:p>
      <w:r>
        <w:t>FR: TF 6B_808/2015 du 4 novembre 2015</w:t>
      </w:r>
    </w:p>
    <w:p>
      <w:r>
        <w:t>IT: TF 6B_808/2015 del 4 novembre 2015</w:t>
      </w:r>
    </w:p>
    <w:p>
      <w:pPr>
        <w:pStyle w:val="Heading2"/>
      </w:pPr>
      <w:r>
        <w:t>Erwägungen</w:t>
      </w:r>
    </w:p>
    <w:p>
      <w:r>
        <w:rPr>
          <w:b/>
        </w:rPr>
        <w:t>E. 1</w:t>
      </w:r>
    </w:p>
    <w:p>
      <w:r>
        <w:t>Am 8. Januar 2015 reichte der Beschwerdeführer ein Schreiben an die Regionale Staatsanwaltschaft Bern-Mittelland ein, worin er geltend machte, er sei in der Schweiz zum Konkurs gezwungen worden. Insbesondere seine ehemalige Wohngemeinde habe ein Komplott gegen ihn geschmiedet. Auf der Suche nach seinem Recht sei er von verschiedenen Behörden, insbesondere der Polizei, immer wieder schikaniert und bedroht worden.</w:t>
      </w:r>
    </w:p>
    <w:p>
      <w:r>
        <w:t>Die Staatsanwaltschaft nahm das Verfahren am 8. April 2015 nicht an die Hand. Eine dagegen gerichtete Beschwerde wies das Obergericht des Kantons Bern am 27. Juli 2015 ab.</w:t>
      </w:r>
    </w:p>
    <w:p>
      <w:r>
        <w:t>Der Beschwerdeführer wendet sich ans Bundesgericht und beantragt sinngemäss die Anhandnahme des Verfahrens und die Bestrafung der Schuldigen.</w:t>
      </w:r>
    </w:p>
    <w:p>
      <w:r>
        <w:rPr>
          <w:b/>
        </w:rPr>
        <w:t>E. 2</w:t>
      </w:r>
    </w:p>
    <w:p>
      <w:r>
        <w:t>Soweit der Beschwerdeführer betont, seine Beschwerde vom 20. April 2015 sei rechtzeitig gewesen, ist das Vorbringen gegenstandslos. Die Vorinstanz geht ausdrücklich davon aus, der Beschwerdeführer sei in der Rechtsmittelbelehrung der angefochtenen Verfügung nicht explizit auf Art. 91 Abs. 2 StPO hingewiesen worden, weshalb es Treu und Glauben widersprechen würde, sich auf die Verspätung der Beschwerde zu berufen (Beschluss S. 2 E. 2.1).</w:t>
      </w:r>
    </w:p>
    <w:p>
      <w:r>
        <w:rPr>
          <w:b/>
        </w:rPr>
        <w:t>E. 3</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6B_669/2015 vom 30. Juni 2015 mit Hinweis).</w:t>
      </w:r>
    </w:p>
    <w:p>
      <w:r>
        <w:t>Der Kanton Bern regelt die Haftung für Schädigungen durch seine Mitarbeiter im Personalgesetz vom 16. September 2004 (BSG 153.01). Gemäss Art. 100 Abs. 1 haftet der Staat für den Schaden, den Mitarbeiter in Ausübung ihrer amtlichen Tätigkeit Dritten widerrechtlich zugefügt haben. Eine persönliche Haftung ist ausgeschlossen (Art. 102 Abs. 1). Ein Zivilanspruch gegen die Beschuldigten steht dem Beschwerdeführer somit nicht zu. Folglich ist er zum vorliegenden Rechtsmittel nicht legitimiert. Auf die Beschwerde ist im Verfahren nach Art. 108 BGG nicht einzutreten.</w:t>
      </w:r>
    </w:p>
    <w:p>
      <w:r>
        <w:rPr>
          <w:b/>
        </w:rPr>
        <w:t>E. 4</w:t>
      </w:r>
    </w:p>
    <w:p>
      <w:r>
        <w:t>Die Gerichtskosten sind dem Beschwerdeführer aufzuerlegen ( Art. 66 Abs. 1 BGG ). Das nachträgliche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