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6B_808/2009 vom 3. Dezember 2009</w:t>
      </w:r>
    </w:p>
    <w:p>
      <w:r>
        <w:t>Bundesgericht, 2009-12-03, FR</w:t>
      </w:r>
    </w:p>
    <w:p>
      <w:r>
        <w:rPr>
          <w:b/>
        </w:rPr>
        <w:t xml:space="preserve">Quelle: </w:t>
      </w:r>
      <w:r>
        <w:t>https://mcp.opencaselaw.ch/entscheid/bger_6B_808_2009</w:t>
      </w:r>
    </w:p>
    <w:p>
      <w:r>
        <w:t>FR: TF 6B_808/2009 du 3 décembre 2009</w:t>
      </w:r>
    </w:p>
    <w:p>
      <w:r>
        <w:t>IT: TF 6B_808/2009 del 3 dicembre 2009</w:t>
      </w:r>
    </w:p>
    <w:p>
      <w:pPr>
        <w:pStyle w:val="Heading2"/>
      </w:pPr>
      <w:r>
        <w:t>Erwägungen</w:t>
      </w:r>
    </w:p>
    <w:p>
      <w:r>
        <w:rPr>
          <w:b/>
        </w:rPr>
        <w:t>E. 1</w:t>
      </w:r>
    </w:p>
    <w:p>
      <w:r>
        <w:t>Le recourant soutient que sa condamnation à raison des faits commis au préjudice de Z.________ viole les art. 22, 122 et 231 CP .</w:t>
      </w:r>
    </w:p>
    <w:p>
      <w:r>
        <w:rPr>
          <w:b/>
        </w:rPr>
        <w:t>E. 1.1</w:t>
      </w:r>
    </w:p>
    <w:p>
      <w:r>
        <w:t>Il ne remet pas en cause le raisonnement par lequel la cour cantonale a estimé n'avoir pas à déterminer si les actes litigieux doivent être qualifiés de délit manqué ou de délit impossible. Au demeurant avec raison, puisque la distinction entre les différentes formes de tentative n'a désormais plus d'incidence sur le cadre légal de la peine, que le juge a, pour chacune d'elles, la faculté d'atténuer selon sa libre appréciation (cf. art. 22 al. 1 CP ), étant toutefois rappelé que, dans les limites du cadre légal, l'atténuation de la peine doit être d'autant plus importante que le résultat de l'infraction est éloigné et que les conséquences de l'acte commis sont moindres (cf. ATF 127 IV 101 consid. 2b p. 103; 121 IV 49 consid. 1b p. 54).</w:t>
      </w:r>
    </w:p>
    <w:p>
      <w:r>
        <w:t>Le recourant ne conteste pas non plus que les actes litigieux sont, objectivement, constitutifs d'une tentative des infractions en cause, plus précisément qu'il les a accomplis sans que le résultat nécessaire à la consommation de celles-ci ne se produise ou ne puisse se produire. Avec raison aussi, au vu des faits retenus.</w:t>
      </w:r>
    </w:p>
    <w:p>
      <w:r>
        <w:t>Le recourant nie en revanche la réalisation de l'élément subjectif de ces infractions, alléguant qu'il a agi par négligence consciente, et non par dol éventuel.</w:t>
      </w:r>
    </w:p>
    <w:p>
      <w:r>
        <w:rPr>
          <w:b/>
        </w:rPr>
        <w:t>E. 1.2</w:t>
      </w:r>
    </w:p>
    <w:p>
      <w:r>
        <w:t>La tentative suppose toujours un comportement intentionnel, le dol éventuel étant toutefois suffisant. Il y a dol éventuel lorsque l'auteur envisage le résultat dommageable, mais agit néanmoins, parce qu'il s'en accommode pour le cas où il se produirait, même s'il ne le souhaite pas ( ATF 133 IV 9 consid. 4.1 p. 16; 131 IV 1 consid. 2.2 p. 4 et les arrêts cités). La négligence consciente s'en distingue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p. 16; 130 IV 58 consid. 8.3 p. 61; 125 IV 242 consid. 3c p. 251; 119 IV 1 consid. 5a p. 3).</w:t>
      </w:r>
    </w:p>
    <w:p>
      <w:r>
        <w:t>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 ATF 133 IV 9 consid. 4.1 p. 16; 130 IV 58 consid. 8.4 p. 62; 125 IV 242 consid. 3c p. 252).</w:t>
      </w:r>
    </w:p>
    <w:p>
      <w:r>
        <w:t>Selon la jurisprudence, la personne séropositive qui, connaissant son infection et le risque de contamination, entretient des relations sexuelles non protégées avec un partenaire qui n'est pas au courant de son état de santé, agit par dol éventuel, et non par négligence consciente. En pareil cas, tout acte sexuel, et même un seul et unique, comporte en effet un risque de transmission du virus; en outre, la personne contaminée ne peut en aucune façon calculer ou doser ce risque, qu'elle connaît; enfin, le partenaire n'a aucun moyen de défense contre le danger d'une contamination. Dans ces circonstances, l'auteur ne saurait prétendre avoir seulement escompté que le résultat dommageable ne se produira pas. Il y a, au contraire, lieu d'admettre qu'il s'en est accommodé ( ATF 131 IV 1 consid. 2.2 p. 4 ss, notamment p. 6; 125 IV 242 consid. 3f p. 253/254). Le fait que la probabilité d'une contamination est statistiquement faible n'est à cet égard pas déterminant ( ATF 131 IV 1 consid. 2.2 p. 5/6). Dans la mesure où l'auteur a agi par dol éventuel, donc intentionnellement, la question du risque admissible, qui se présente en cas de négligence (cf. ATF 134 IV 193 ss), ne se pose pas.</w:t>
      </w:r>
    </w:p>
    <w:p>
      <w:r>
        <w:rPr>
          <w:b/>
        </w:rPr>
        <w:t>E. 1.3</w:t>
      </w:r>
    </w:p>
    <w:p>
      <w:r>
        <w:t>Selon les constatations de fait cantonales, le recourant a entretenu des relations sexuelles non protégées avec Z.________ de janvier 2005 à la mi-mai 2005, alors que cette dernière ignorait qu'il était séropositif. Lui-même se savait infecté du VIH depuis avril 1998 et, en 2005, il n'avait plus aucune excuse d'ignorance en matière de mode de transmission du virus et de comportement préventif à adopter. Il avait au demeurant suivi une première trithérapie de décembre 1998 à 2000 et, après une interruption, en avait entrepris une nouvelle à partir d'août 2003. Au moment des faits litigieux, il ne pouvait qu'ignorer le résultat des recherches scientifiques ressortant de la prise de position de la CFPS. Subséquemment, il ne pouvait partir de l'idée qu'il ne présentait pas de risque de contamination pour sa partenaire.</w:t>
      </w:r>
    </w:p>
    <w:p>
      <w:r>
        <w:t>Sur le vu de ces constatations, dont l'arbitraire n'est pas allégué, et de la jurisprudence précitée, il est manifeste que le recourant a agi par dol éventuel. Parfaitement conscient de sa maladie et ne pouvant à l'époque concevoir de doute quant au risque de contamination qu'il faisait courir à sa partenaire en cas de rapports sexuels non protégés, il a néanmoins entretenu avec elle de tels rapports, sans qu'elle ait été informée de son état. Il s'est ainsi clairement accommodé de la réalisation du danger, dont il était conscient, de lui transmettre le virus VIH. Il ne saurait, dans ces conditions, arguer d'un risque admissible, moins encore en se basant sur la probabilité d'une contamination statistiquement faible. Infondé, le grief doit être rejeté.</w:t>
      </w:r>
    </w:p>
    <w:p>
      <w:r>
        <w:rPr>
          <w:b/>
        </w:rPr>
        <w:t>E. 2</w:t>
      </w:r>
    </w:p>
    <w:p>
      <w:r>
        <w:t>Invoquant une violation de l' art. 47 CP , le recourant se plaint d'avoir été condamné à une peine excessive.</w:t>
      </w:r>
    </w:p>
    <w:p>
      <w:r>
        <w:rPr>
          <w:b/>
        </w:rPr>
        <w:t>E. 2.1</w:t>
      </w:r>
    </w:p>
    <w:p>
      <w:r>
        <w:t>En instance cantonale, le recourant, comme il doit l'admettre, n'a demandé de réduction de la peine que comme conséquence de l'acquittement qu'il sollicitait. Il n'a pris aucune conclusion tendant à ce que la peine infligée soit de toute manière réduite, indépendamment de son acquittement des infractions litigieuses, ni n'a présenté une quelconque argumentation en ce sens. Aussi la cour cantonale, après avoir préalablement rappelé que, conformément au droit cantonal de procédure, elle n'entrait en matière que sur les griefs expressément soulevés par la partie recourante et pour autant qu'ils fassent l'objet de conclusions suffisamment motivées et qu'ils soient intimement liés à elles, a-t-elle considéré que, la culpabilité du recourant devant être confirmée, elle n'avait pas à examiner la question de la peine.</w:t>
      </w:r>
    </w:p>
    <w:p>
      <w:r>
        <w:rPr>
          <w:b/>
        </w:rPr>
        <w:t>E. 2.2</w:t>
      </w:r>
    </w:p>
    <w:p>
      <w:r>
        <w:t>Le recourant n'établit pas, conformément aux exigences de motivation de l' art. 106 al. 2 LTF (cf. ATF 133 IV 286 consid. 1.4 p. 287), que ce raisonnement procéderait d'une application arbitraire du droit cantonal de procédure ou serait constitutif d'une autre atteinte à ses droits fondamentaux, ni même ne le prétend. Subséquemment, il n'est pas démontré que le refus de la cour cantonale d'examiner la question de la peine violerait les droits constitutionnels du recourant. La conclusion de ce dernier tendant à ce que la peine soit de toute manière réduite, même en cas de maintien du verdict de culpabilité, est donc nouvelle, au sens de l' art. 99 al. 2 LTF , et, partant irrecevable, ce qui entraîne également l'irrecevabilité du grief de violation de l' art. 47 CP présenté à l'appui.</w:t>
      </w:r>
    </w:p>
    <w:p>
      <w:r>
        <w:rPr>
          <w:b/>
        </w:rPr>
        <w:t>E. 3</w:t>
      </w:r>
    </w:p>
    <w:p>
      <w:r>
        <w:t>Le recours doit ainsi être rejeté dans la mesure où il est recevable. Comme ses conclusions étaient d'emblée vouées à l'échec, l'assistance judiciaire ne peut être accordée (cf.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