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6B_807/2018 vom 23. August 2018</w:t>
      </w:r>
    </w:p>
    <w:p>
      <w:r>
        <w:t>Bundesgericht, 2018-08-23, DE</w:t>
      </w:r>
    </w:p>
    <w:p>
      <w:r>
        <w:rPr>
          <w:b/>
        </w:rPr>
        <w:t xml:space="preserve">Quelle: </w:t>
      </w:r>
      <w:r>
        <w:t>https://mcp.opencaselaw.ch/entscheid/bger_6B_807_2018</w:t>
      </w:r>
    </w:p>
    <w:p>
      <w:r>
        <w:t>FR: TF 6B_807/2018 du 23 août 2018</w:t>
      </w:r>
    </w:p>
    <w:p>
      <w:r>
        <w:t>IT: TF 6B_807/2018 del 23 agosto 2018</w:t>
      </w:r>
    </w:p>
    <w:p>
      <w:pPr>
        <w:pStyle w:val="Heading2"/>
      </w:pPr>
      <w:r>
        <w:t>Erwägungen</w:t>
      </w:r>
    </w:p>
    <w:p>
      <w:r>
        <w:rPr>
          <w:b/>
        </w:rPr>
        <w:t>E. 1</w:t>
      </w:r>
    </w:p>
    <w:p>
      <w:r>
        <w:t>Die Verfügung vom 10. August 2018 der Strafkammer des Bundesstrafgerichts betreffend Gesuch um Erlass der Verfahrenskosten ist mit Beschwerde bei der Beschwerdekammer des Bundesstrafgerichts anfechtbar (vgl. angefochtene Verfügung, Rechtsmittelbelehrung). Auf die beim Bundesgericht eingereichte Beschwerde ist mangels Zuständigkeit im Verfahren nach Art. 108 BGG nicht einzutreten. Zugleich ist die Sache gestützt auf Art. 30 Abs. 2 BGG zuständigkeitshalber an die Beschwerdekammer des Bundesstrafgerichts weiterzuleiten.</w:t>
      </w:r>
    </w:p>
    <w:p>
      <w:r>
        <w:rPr>
          <w:b/>
        </w:rPr>
        <w:t>E. 2</w:t>
      </w:r>
    </w:p>
    <w:p>
      <w:r>
        <w:t>Auf eine Kostenauflage ist ausnahmsweise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