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6B_806/2015 vom 1. Februar 2016</w:t>
      </w:r>
    </w:p>
    <w:p>
      <w:r>
        <w:t>Bundesgericht, 2016-02-01, FR</w:t>
      </w:r>
    </w:p>
    <w:p>
      <w:r>
        <w:rPr>
          <w:b/>
        </w:rPr>
        <w:t xml:space="preserve">Quelle: </w:t>
      </w:r>
      <w:r>
        <w:t>https://mcp.opencaselaw.ch/entscheid/bger_6B_806_2015</w:t>
      </w:r>
    </w:p>
    <w:p>
      <w:r>
        <w:t>FR: TF 6B_806/2015 du 1 février 2016</w:t>
      </w:r>
    </w:p>
    <w:p>
      <w:r>
        <w:t>IT: TF 6B_806/2015 del 1 febbraio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confirme l'ordonnance de classement du Ministère public. Il s'agit d'une décision finale ( art. 90 LTF ), rendue dans une cause de droit pénal et émanant de l'autorité cantonale de dernière instance ( art. 80 LTF ). Il peut donc faire l'objet d'un recours en matière pénale ( art. 78 ss LTF ). Le recours a été déposé en temps utile (art. 45 al. 1, 46 al. 1 let. b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Dans son mémoire, le recourant prétend à l'obtention de 50'000 fr. à titre de réparation du tort moral et de 200'000 fr. pour son dommage économique. Il se réfère à cet égard à la lettre de sa mandataire du 28 février 2013. Si ce courrier contient effectivement les prétentions du recourant, il n'y a aucune annexe permettant de les justifier. Cependant, vu la nature des lésions subies - dont la gravité n'est pas contestée (cf. consid. 2.3.2 de l'arrêt attaqué) - et l'infraction dénoncée ( art. 125 CP ), cela suffit, en particulier sous l'angle du tort moral, au stade de la recevabilité pour reconnaître au recourant la qualité pour recourir au sens de l'art. 81 al. 1 let. b ch. 5 LTF ( ATF 141 IV 1 consid. 1.1 p. 4). Il y a donc lieu d'entrer en matière.</w:t>
      </w:r>
    </w:p>
    <w:p>
      <w:r>
        <w:rPr>
          <w:b/>
        </w:rPr>
        <w:t>E. 2</w:t>
      </w:r>
    </w:p>
    <w:p>
      <w:r>
        <w:t>Le recourant reproche à l'autorité précédente des violations des art. 318 al. 2, 319 al. 1 CPP et du principe "in dubio pro duriore".</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2.2</w:t>
      </w:r>
    </w:p>
    <w:p>
      <w:r>
        <w:t>L' art. 125 CP réprime le comportement de celui qui, par négligence, aura causé une atteinte à l'intégrité corporelle ou à la santé d'une personne. La réalisation de cette infraction suppose ainsi la réunion de trois conditions : l'existence de lésions corporelles - ce qui n'est pas contesté en l'occurrence -, une négligence et un lien de causalité entre la négligence et les lésions.</w:t>
      </w:r>
    </w:p>
    <w:p>
      <w:r>
        <w:rPr>
          <w:b/>
        </w:rPr>
        <w:t>E. 2.2.1</w:t>
      </w:r>
    </w:p>
    <w:p>
      <w:r>
        <w:t>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135 IV 56 consid. 2.1 p. 64; 134 IV 255 consid. 4.2.3 p. 262).</w:t>
      </w:r>
    </w:p>
    <w:p>
      <w:r>
        <w:t>En second lieu, la violation du devoir de prudence doit être fautive, c'est-à-dire qu'il faut pouvoir reprocher à l'auteur une inattention ou un manque d'effort blâmable ( ATF 136 IV 76 consid. 2.3.1 p. 79; 135 IV 56 consid. 2.1 p. 64; 134 IV 255 consid. 4.2.3 p. 262).</w:t>
      </w:r>
    </w:p>
    <w:p>
      <w:r>
        <w:rPr>
          <w:b/>
        </w:rPr>
        <w:t>E. 2.2.2</w:t>
      </w:r>
    </w:p>
    <w:p>
      <w:r>
        <w:t>Une infraction de résultat, qui suppose en général une action, peut aussi être commise par omission si l'auteur est resté passif au mépris d'une obligation juridique qui lui commandait impérieusement d'agir pour éviter le résultat (cf. art. 11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rPr>
          <w:b/>
        </w:rPr>
        <w:t>E. 2.3</w:t>
      </w:r>
    </w:p>
    <w:p>
      <w:r>
        <w:t>En l'espèce, le recourant soutient tout d'abord que la cour cantonale aurait privilégié le déroulement des événements tel que décrit par ses deux collègues. Or, les déclarations de ceux-ci seraient peu claires et contradictoires : C.________ affirmerait notamment que le recourant aurait tenu la vitre avec un genou tandis que, selon B.________ - dont il est incontesté qu'il s'est absenté peu avant l'accident -, la vitre aurait été tenue avec les deux mains. Cela justifierait d'ailleurs la mise en oeuvre d'une expertise, ainsi que d'une reconstitution afin d'éclaircir le déroulement des faits.</w:t>
      </w:r>
    </w:p>
    <w:p>
      <w:r>
        <w:t>La juridiction précédente a rappelé les deux versions alléguées : celle du recourant (seul pendant 10 minutes pour tenir une vitre de 500 kg) et celle des deux collègues (en substance, vitre pas assez soutenue par le recourant). Si elle a relevé le caractère surprenant des propos tenus par le premier, elle a surtout conclu qu'aucun élément au dossier ne permettait d'établir avec précision le déroulement des faits lors de l'accident du 21 décembre 2011, relevant de plus l'absence de mesure propre à éclaircir ces faits.</w:t>
      </w:r>
    </w:p>
    <w:p>
      <w:r>
        <w:t>Ce raisonnement ne prête pas le flanc à la critique.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6B_1151/2014 du 16 décembre 2015 consid. 3.1; 6B_856/2013 du 3 avril 2014 consid. 2.2; 1B_535/2012 du 28 novembre 2012 consid. 5.2). Tel est le cas en l'espèce. En effet, les deux versions alléguées s'accordent sur le fait qu'à un moment donné, la vitre n'a pas pu être suffisamment soutenue, ce qui a entraîné sa chute (cf. également le rapport de la SUVA du 24 juillet 2012). En revanche, les protagonistes divergent sur la cause ayant entraîné le manque de soutien (défaut de force suffisante ou mauvais appui). Or, on ne voit pas comment, sans autre élément, une reconstitution et/ou une expertise permettraient de démontrer la présence, respectivement l'absence, des deux collègues lors de l'accident et ainsi permettre de privilégier l'une ou l'autre des versions. Cela vaut d'autant plus, ainsi que l'a relevé l'autorité cantonale, qu'aucun élément au dossier ne permet d'étayer la version soutenue par le recourant et que les déclarations faites par ses deux collègues, entendus par la police le jour même de l'accident, n'ont pas varié lors de leur audition ultérieure par le Ministère public.</w:t>
      </w:r>
    </w:p>
    <w:p>
      <w:r>
        <w:rPr>
          <w:b/>
        </w:rPr>
        <w:t>E. 2.4</w:t>
      </w:r>
    </w:p>
    <w:p>
      <w:r>
        <w:t>Le recourant reproche ensuite à l'autorité cantonale d'avoir considéré qu'aucune norme de sécurité n'avait été violée par son employeur.</w:t>
      </w:r>
    </w:p>
    <w:p>
      <w:r>
        <w:rPr>
          <w:b/>
        </w:rPr>
        <w:t>E. 2.4.1</w:t>
      </w:r>
    </w:p>
    <w:p>
      <w:r>
        <w:t>Se référant en particulier à l'art. 25 de l'Ordonnance 3 du 18 août 1993 relative à la loi sur le travail (protection de la santé; OLT 3; RS 822.113), il soutient tout d'abord n'avoir pas été suffisamment formé et instruit pour le travail qui lui avait été confié; cela ressortirait "des déclarations des principaux intéressés qu'aucune information et instruction particulière n[e lui avait] été transmise [...] quant à la pose des vitres et à l'utilisation de la machine utilisée pour déplacer celle-ci".</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Or, la lecture de l'arrêt attaqué ne permet pas de comprendre à quels propos le recourant fait référence dans son recours. Ceux rapportés par l'autorité précédente ne paraissent au demeurant pas corroborer la version soutenue par le recourant (B.________ a déclaré "avoir expliqué à X.________ comment il fallait procéder"; C.________ a dit l'avoir "rendu attentif au fait qu'il ne fallait absolument pas lâcher la vitre"; et A.________ a indiqué que "les instructions étaient simples", qu'il "n'existait pas de mode d'emploi", que "tous ses employés étaient formés et que le chef d'équipe expliquait, dès les premières vitres posées, comme il fallait procéder" et qu'en son absence, c'était "son frère, C.________, qui formait les employés" [cf. p. 4 s. de l'arrêt entrepris]).</w:t>
      </w:r>
    </w:p>
    <w:p>
      <w:r>
        <w:t>Par conséquent, dans la mesure où le recourant entendait se prévaloir de constatations de faits différentes de celles relevées - respectivement omises - par l'autorité cantonale (cf. art. 97 al. 1 LTF ), il lui appartenait de démontrer que les conditions susmentionnées étaient réalisées, en développant de plus une argumentation répondant aux exigences de l' art. 106 al. 2 LTF ( ATF 137 I 58 consid. 4.1.2 p. 62). A défaut, il n'est pas possible de tenir compte d'un état de fait divergent de celui retenu dans l'arrêt attaqué. Ce grief doit donc être déclaré irrecevable.</w:t>
      </w:r>
    </w:p>
    <w:p>
      <w:r>
        <w:rPr>
          <w:b/>
        </w:rPr>
        <w:t>E. 2.4.2</w:t>
      </w:r>
    </w:p>
    <w:p>
      <w:r>
        <w:t>Le recourant se plaint ensuite de l'interprétation faite par la juridiction précédente de l'avis de la SUVA du 26 juillet 2013 afin d'exclure la responsabilité de l'employeur. Il soutient que la méthode utilisée pour la pose des vitres - rappelée sans être remise en cause au consid. 2.3.3 de l'arrêt attaqué - serait de manière générale inappropriée; cela justifierait la production du mode d'emploi de la machine utilisée pour ce faire, ainsi que la mise en oeuvre d'une expertise sur les mesures de sécurité à adopter lors de ce type de travaux.</w:t>
      </w:r>
    </w:p>
    <w:p>
      <w:r>
        <w:t>Selon le courrier de la SUVA susmentionné, "l'accident montr[ait] que la méthode globale était inappropriée; mais parfois cela résult[ait] aussi du choix des travailleurs sur place sans intervention de l'employeur". La SUVA a ensuite relevé que le mode d'emploi "devrait mentionner la méthode de travail adaptée pour réaliser le travail en toute sécurité". Mais, elle a pourtant ensuite retenu que, "pour cet accident, il [lui] était difficile de prouver par des faits concrets que l'employeur était responsable du non-respect" des art. 82 de la loi fédérale du 20 mars 1981 sur l'assurance-accidents (LAA; RS 832.20), 3, 6, 11, 32a, 41 de l'Ordonnance du 19 décembre 1983 sur la prévention des accidents et des maladies professionnelles (OPA; RS 832.30), 3 et/ou 11 de l'Ordonnance du 29 juin 2005 sur la sécurité et la protection de la santé des travailleurs dans les travaux de construction (OTConst; RS 832.311.141), dispositions potentiellement applicables.</w:t>
      </w:r>
    </w:p>
    <w:p>
      <w:r>
        <w:t>Vu la teneur de ce document, l'appréciation de l'autorité précédente - qui tend à limiter l'inadéquation de la méthode aux circonstances d'espèce - n'est pas critiquable. Cela vaut d'ailleurs d'autant plus que, ainsi que relevé par la SUVA, les possibles actes des participants - dont fait partie le recourant - peuvent avoir eu un impact au moment de l'accident, hypothèse déjà soulevée lors du premier courrier de la SUVA. Or, on rappellera que le déroulement de l'accident n'a pu être établi avec certitude, soit en particulier le rôle joué par les trois personnes présentes. A nouveau, la production du mode d'emploi et/ou la mise en oeuvre d'une expertise ne permettraient pas de pallier ce manque d'information.</w:t>
      </w:r>
    </w:p>
    <w:p>
      <w:r>
        <w:rPr>
          <w:b/>
        </w:rPr>
        <w:t>E. 2.4.3</w:t>
      </w:r>
    </w:p>
    <w:p>
      <w:r>
        <w:t>Au regard des considérations précédentes, la Chambre des recours pénale n'a pas violé le principe "in dubio pro duriore" en confirmant l'ordonnance de classement rendue par le Ministère public.</w:t>
      </w:r>
    </w:p>
    <w:p>
      <w:r>
        <w:rPr>
          <w:b/>
        </w:rPr>
        <w:t>E. 3</w:t>
      </w:r>
    </w:p>
    <w:p>
      <w:r>
        <w:t>Il s'ensuit que le recours est rejeté dans la mesure où il est recevable.</w:t>
      </w:r>
    </w:p>
    <w:p>
      <w:r>
        <w:t>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