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6B_804/2015 vom 4. November 2015</w:t>
      </w:r>
    </w:p>
    <w:p>
      <w:r>
        <w:t>Bundesgericht, 2015-11-04, DE</w:t>
      </w:r>
    </w:p>
    <w:p>
      <w:r>
        <w:rPr>
          <w:b/>
        </w:rPr>
        <w:t xml:space="preserve">Quelle: </w:t>
      </w:r>
      <w:r>
        <w:t>https://mcp.opencaselaw.ch/entscheid/bger_6B_804_2015</w:t>
      </w:r>
    </w:p>
    <w:p>
      <w:r>
        <w:t>FR: TF 6B_804/2015 du 4 novembre 2015</w:t>
      </w:r>
    </w:p>
    <w:p>
      <w:r>
        <w:t>IT: TF 6B_804/2015 del 4 novembre 2015</w:t>
      </w:r>
    </w:p>
    <w:p>
      <w:pPr>
        <w:pStyle w:val="Heading2"/>
      </w:pPr>
      <w:r>
        <w:t>Erwägungen</w:t>
      </w:r>
    </w:p>
    <w:p>
      <w:r>
        <w:rPr>
          <w:b/>
        </w:rPr>
        <w:t>E. 1</w:t>
      </w:r>
    </w:p>
    <w:p>
      <w:r>
        <w:t>Der Beschwerdeführer wird in den Urteilen der Vor- und Erstinstanz als B.X.________ geführt. Im Briefkopf seiner Beschwerde nennt er sich P. A.X.________. Die Beschwerde ist mit diesem Namenszug unterzeichnet. Es ist anzunehmen, dass er persönlich den Vornamen "A.________" statt "B.________" verwendet (und "P." für Pater).</w:t>
      </w:r>
    </w:p>
    <w:p>
      <w:r>
        <w:rPr>
          <w:b/>
        </w:rPr>
        <w:t>E. 2</w:t>
      </w:r>
    </w:p>
    <w:p>
      <w:r>
        <w:t>Die Beschwerde hat die Begehren und deren Begründung zu enthalten (Art. 42 Abs. 1 Bundesgerichtsgesetz, BGG; SR 173.110). Der Beschwerdeführer stellt keine Rechtsbegehren. Das Begehren kann sich auch aus der Begründung ergeben (vgl. BGE 136 V 131 E. 1.2; Urteil 6B_189/2015 vom 16. Juli 2015 E. 3.1). In der Begründung der Beschwerde ist darzulegen, inwiefern der angefochtene Akt Recht verletzt ( Art. 42 Abs. 2 BGG ). Diesen Anforderungen genügt die Beschwerde nicht.</w:t>
      </w:r>
    </w:p>
    <w:p>
      <w:r>
        <w:rPr>
          <w:b/>
        </w:rPr>
        <w:t>E. 2.1</w:t>
      </w:r>
    </w:p>
    <w:p>
      <w:r>
        <w:t>Der Beschwerdeführer bringt vor, er habe als pensionierter Priester mehrmals wöchentlich den Gottesdienst zu zelebrieren und Tag und Nacht zur Verfügung zu stehen, um das Sterbesakrament zu spenden. Er müsse Personen zur Therapie fahren. Sein ganzer Tag sei mit vielen Autofahrten ausgefüllt. Da habe er Knall auf Fall nicht mehr fahren dürfen, weil man Altersdefizit befürchte. "Dabei sind die Gründe falsch, und ich bin unschuldig."</w:t>
      </w:r>
    </w:p>
    <w:p>
      <w:r>
        <w:rPr>
          <w:b/>
        </w:rPr>
        <w:t>E. 2.2</w:t>
      </w:r>
    </w:p>
    <w:p>
      <w:r>
        <w:t>Der Beschwerdeführer verletzte am 2. Januar 2014 beim Rechtsabbiegen eine Fussgängerin. Er hatte sie nicht gesehen oder aufgrund seiner persönlichen Voraussetzungen nicht erkennen können. Die Strasse war beleuchtet und mit einem gelb blinkenden Warnlicht ausgerüstet.</w:t>
      </w:r>
    </w:p>
    <w:p>
      <w:r>
        <w:t>Der Beschwerdeführer bringt vor: "Zum Glück bin ich langsam abgebogen, weil ich nach Velofahrern umschaute, und erst als ich Rufe hörte von der Schwester, die ihre Schwester zurückziehen wollte, und ein Rumpeln spürte beim Anfahren am Knie [der Schwester], merkte ich, dass etwas passiert ist." Damit bestätigt er die Beurteilung.</w:t>
      </w:r>
    </w:p>
    <w:p>
      <w:r>
        <w:rPr>
          <w:b/>
        </w:rPr>
        <w:t>E. 2.3</w:t>
      </w:r>
    </w:p>
    <w:p>
      <w:r>
        <w:t>Der Beschwerdeführer rügte vor der Vorinstanz zudem seine Verurteilung wegen Nichtabgabe von Ausweisen. Nach der Vorinstanz wurde ihm der Führerausweis am 15. Juli 2014 vorsorglich entzogen, weil aufgrund von zwei Vorfällen der Verdacht eines altersbedingten Leistungsabfalls bestand. Er wurde am 15. Juli 2014 zu einer vertrauensärztlichen Untersuchung und einer Kontrollfahrt aufgeboten. Unbestritten habe er den Ausweis nicht abgegeben.</w:t>
      </w:r>
    </w:p>
    <w:p>
      <w:r>
        <w:t>Der Beschwerdeführer wendet ein, die Vorinstanz bestätige zu Unrecht, dass er den Führerausweis nicht abgegeben hatte.</w:t>
      </w:r>
    </w:p>
    <w:p>
      <w:r>
        <w:t>Bereits die Erstinstanz führte aus, aufgrund der rechtskräftigen Verfügung vom 15. Juli 2014 hätte er den Ausweis innerhalb von drei Tagen der Administrativmassnahmenbehörde retournieren müssen. Mit Schreiben vom 22. Juli 2014 sei er nochmals darauf hingewiesen worden, dass er nicht fahrberechtigt sei. Er habe angegeben, gute Gründe zu haben (vgl. oben E. 2.1), den Ausweis nicht einzureichen. Die vertrauensärztliche Untersuchung und Kontrollfahrt hätten nicht allzuviel Zeit beansprucht. Er hätte den Ausweis wieder erhalten, vorausgesetzt seine Fahreignung hätte sich bestätigt. Er hätte die öffentlichen Verkehrsmittel benützen und für alle übrigen Fahrten Ersatz organisieren können. Sein ständiges Weiterfahren habe andere Verkehrsteilnehmer gefährdet.</w:t>
      </w:r>
    </w:p>
    <w:p>
      <w:r>
        <w:t>Somit hatte der Beschwerdeführer seinen Führerausweis nicht oder jedenfalls nicht rechtzeitig abgegeben.</w:t>
      </w:r>
    </w:p>
    <w:p>
      <w:r>
        <w:rPr>
          <w:b/>
        </w:rPr>
        <w:t>E. 2.4</w:t>
      </w:r>
    </w:p>
    <w:p>
      <w:r>
        <w:t>Die Vorinstanz hält ferner fest, eine Wiedererteilung des Führerausweises sei nicht Gegenstand dieses Verfahrens. Dasselbe gelte für die später erfolgte Beschlagnahme des Fahrzeugs, weil er einen abfahrenden Bus gestreift hatte.</w:t>
      </w:r>
    </w:p>
    <w:p>
      <w:r>
        <w:rPr>
          <w:b/>
        </w:rPr>
        <w:t>E. 3</w:t>
      </w:r>
    </w:p>
    <w:p>
      <w:r>
        <w:t>Der Beschwerdeführer legt nicht dar, inwiefern das Urteil Bundesrecht verletzen sollte. Auf die Beschwerde ist nicht einzutreten. Ihm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