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6B_802/2025 vom 19. November 2025</w:t>
      </w:r>
    </w:p>
    <w:p>
      <w:r>
        <w:t>Bundesgericht, 2025-11-19, FR</w:t>
      </w:r>
    </w:p>
    <w:p>
      <w:r>
        <w:rPr>
          <w:b/>
        </w:rPr>
        <w:t xml:space="preserve">Quelle: </w:t>
      </w:r>
      <w:r>
        <w:t>https://mcp.opencaselaw.ch/entscheid/bger_6B_802_2025</w:t>
      </w:r>
    </w:p>
    <w:p>
      <w:r>
        <w:t>FR: TF 6B_802/2025 du 19 novembre 2025</w:t>
      </w:r>
    </w:p>
    <w:p>
      <w:r>
        <w:t>IT: TF 6B_802/2025 del 19 novembre 2025</w:t>
      </w:r>
    </w:p>
    <w:p>
      <w:pPr>
        <w:pStyle w:val="Heading2"/>
      </w:pPr>
      <w:r>
        <w:t>Erwägungen</w:t>
      </w:r>
    </w:p>
    <w:p>
      <w:r>
        <w:rPr>
          <w:b/>
        </w:rPr>
        <w:t>E. 1</w:t>
      </w:r>
    </w:p>
    <w:p>
      <w:r>
        <w:t>Par jugement du 19 août 2025, la Cour d'appel pénale du Tribunal cantonal vaudois a rejeté l'appel formé par A.________ à l'encontre du jugement rendu le 8 mai 2025 par le Tribunal de police de l'arrondissement de la Broye et du Nord vaudois. Ce faisant, elle a confirmé sa condamnation pour contrainte, violation simple des règles de la circulation routière et entrave aux mesures de constatation de l'incapacité de conduire. Révoquant un précédent sursis, elle a ordonné l'exécution de la peine y relative dans le cadre d'une peine d'ensemble fixée à 180 jours-amende à 30 fr. le jour. Elle lui a infligé en outre une amende de 400 fr., en arrêtant la peine privative de liberté de substitution à 4 jours.</w:t>
      </w:r>
    </w:p>
    <w:p>
      <w:r>
        <w:rPr>
          <w:b/>
        </w:rPr>
        <w:t>E. 2</w:t>
      </w:r>
    </w:p>
    <w:p>
      <w:r>
        <w:t>Par acte daté du 18 septembre 2025, reçu au Tribunal fédéral le 23 septembre suivant, A.________ a formé un recours en matière pénale au Tribunal fédéral contre le jugement précité.</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6B_356/2025 du 7 mai 2025 consid. 5; 6B_799/2023 du 7 février 2025 consid. 3; 6B_214/2024 du 3 février 2025 consid. 1).</w:t>
      </w:r>
    </w:p>
    <w:p>
      <w:r>
        <w:rPr>
          <w:b/>
        </w:rPr>
        <w:t>E. 4</w:t>
      </w:r>
    </w:p>
    <w:p>
      <w:r>
        <w:t>En l'espèce, force est de constater que l'écriture du recourant, pour partie difficile à comprendre, ne comporte aucune discussion topique ciblant la motivation cantonale, ni en ce qui concerne les constatations de fait, ni au sujet des considérants de droit. Tout au plus y discerne-t-on une discussion libre et appellatoire, partant irrecevable, de certains éléments de faits censément en lien avec la cause.</w:t>
      </w:r>
    </w:p>
    <w:p>
      <w:r>
        <w:t>Il est dès lors patent que les exigences de motivation d'un recours en matière pénale (art. 42 al. 2 et 106 al. 2 LTF) ne sont pas respectées. Le recours doit être déclaré irrecevable.</w:t>
      </w:r>
    </w:p>
    <w:p>
      <w:r>
        <w:rPr>
          <w:b/>
        </w:rPr>
        <w:t>E. 5</w:t>
      </w:r>
    </w:p>
    <w:p>
      <w:r>
        <w:t>Au vu de ce qui précède, le recours est irrecevable, ce qu'il convient de constater dans la procédure prévue par l' art. 108 al. 1 let.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