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802/2023 vom 19. Juni 2023</w:t>
      </w:r>
    </w:p>
    <w:p>
      <w:r>
        <w:t>Bundesgericht, 2023-06-19, DE</w:t>
      </w:r>
    </w:p>
    <w:p>
      <w:r>
        <w:rPr>
          <w:b/>
        </w:rPr>
        <w:t xml:space="preserve">Quelle: </w:t>
      </w:r>
      <w:r>
        <w:t>https://mcp.opencaselaw.ch/entscheid/bger_6B_802_2023</w:t>
      </w:r>
    </w:p>
    <w:p>
      <w:r>
        <w:t>FR: TF 6B 802/2023 du 19 juin 2023</w:t>
      </w:r>
    </w:p>
    <w:p>
      <w:r>
        <w:t>IT: TF 6B 802/2023 del 19 giugno 2023</w:t>
      </w:r>
    </w:p>
    <w:p>
      <w:pPr>
        <w:pStyle w:val="Heading2"/>
      </w:pPr>
      <w:r>
        <w:t>Regeste</w:t>
      </w:r>
    </w:p>
    <w:p>
      <w:r>
        <w:t>Nichtanhandnahme; Nichteintreten | Strafprozess</w:t>
      </w:r>
    </w:p>
    <w:p>
      <w:pPr>
        <w:pStyle w:val="Heading2"/>
      </w:pPr>
      <w:r>
        <w:t>Erwägungen</w:t>
      </w:r>
    </w:p>
    <w:p>
      <w:r>
        <w:rPr>
          <w:b/>
        </w:rPr>
        <w:t>E. 1</w:t>
      </w:r>
    </w:p>
    <w:p>
      <w:r>
        <w:t>Am 4. Mai 2023 ist das Kantonsgericht Schwyz in sechs Verfügungen auf Beschwerden gegen zahlreiche staatsanwaltschaftliche Nichtanhandnahmeverfügungen wegen verspäteter Beschwerdeerhebungen und mangels hinreichender Beschwerdebegründungen nicht eingetreten. Die Beschwerdeführerin wendet sich an das Bundesgericht.</w:t>
      </w:r>
    </w:p>
    <w:p>
      <w:r>
        <w:rPr>
          <w:b/>
        </w:rPr>
        <w:t>E. 2</w:t>
      </w:r>
    </w:p>
    <w:p>
      <w:r>
        <w:t>Die Verfahren 6B_802/2023, 6B_803/2023, 6B_804/2023, 6B_805/2023, 6B_806/2023 und 6B_807/2023 sind zu vereinigen und gemeinsam zu erledigen.</w:t>
      </w:r>
    </w:p>
    <w:p>
      <w:r>
        <w:rPr>
          <w:b/>
        </w:rPr>
        <w:t>E. 3</w:t>
      </w:r>
    </w:p>
    <w:p>
      <w:r>
        <w:t>Die Beschwerde hat eine Begründung zu enthalten, in welcher in gedrängter Form dargelegt wird, inwiefern der angefochtene Entscheid Recht verletzt ( Art. 42 Abs. 2 BGG ).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Anfechtungsgegenstand vor Bundesgericht bilden einzig die sechs Nichteintretensverfügungen ( Art. 80 Abs. 1 BGG ). Vor Bundesgericht kann es folglich nur um die Frage gehen, ob die Vorinstanz auf die Rechtsmittel zu Recht nicht eingetreten ist. Damit sowie mit den Anforderungen von Art. 396 Abs. 1 i.V.m. Art. 384 lit. b StPO , Art. 85 und Art. 90 StPO betreffend Einhaltung der Beschwerdefrist und von Art. 385 StPO betreffend Beschwerdebegründung befasst sich die Beschwerdeführerin nicht in einer den Formerfordernissen genügenden Weise. Dass und inwiefern die Vorinstanz mit ihren Nichteintretensverfügungen geltendes Recht im Sinne von Art. 95 BGG verletzt haben könnte, ergibt sich aus ihren Ausführungen nicht. Die Beschwerden erfüllen selbst die an eine Laienbeschwerde zu stellenden, minimalen Begründungsanforderungen nicht ( Art. 42 Abs. 2 BGG , Art. 106 Abs. 2 BGG ). Darauf ist mangels tauglicher Begründungen im Verfahren nach Art. 108 BGG nicht einzutreten.</w:t>
      </w:r>
    </w:p>
    <w:p>
      <w:r>
        <w:rPr>
          <w:b/>
        </w:rPr>
        <w:t>E. 5</w:t>
      </w:r>
    </w:p>
    <w:p>
      <w:r>
        <w:t>Auf eine Kostenauflage kann ausnahmsweise verzichtet werden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