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6B_802/2021 vom 10. Februar 2022</w:t>
      </w:r>
    </w:p>
    <w:p>
      <w:r>
        <w:t>Bundesgericht, 2022-02-10, FR</w:t>
      </w:r>
    </w:p>
    <w:p>
      <w:r>
        <w:rPr>
          <w:b/>
        </w:rPr>
        <w:t xml:space="preserve">Quelle: </w:t>
      </w:r>
      <w:r>
        <w:t>https://mcp.opencaselaw.ch/entscheid/bger_6B_802_2021</w:t>
      </w:r>
    </w:p>
    <w:p>
      <w:r>
        <w:t>FR: TF 6B_802/2021 du 10 février 2022</w:t>
      </w:r>
    </w:p>
    <w:p>
      <w:r>
        <w:t>IT: TF 6B_802/2021 del 10 febbraio 2022</w:t>
      </w:r>
    </w:p>
    <w:p>
      <w:pPr>
        <w:pStyle w:val="Heading2"/>
      </w:pPr>
      <w:r>
        <w:t>Erwägungen</w:t>
      </w:r>
    </w:p>
    <w:p>
      <w:r>
        <w:rPr>
          <w:b/>
        </w:rPr>
        <w:t>E. 1</w:t>
      </w:r>
    </w:p>
    <w:p>
      <w:r>
        <w:t>Invoquant des violations des art. 189 al. 1 et 190 al. 1 CP, le recourant conteste ses condamnations pour contrainte sexuelle et pour viol. Il se plaint également dans ce contexte d'une constatation arbitraire des faits ainsi que d'une violation du principe</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destiné à la publication; arrêts 6B_1052/2020 du 19 juillet 2021 consid. 1.1; 6B_984/2020 du 4 mars 2021 consid. 1.1).</w:t>
      </w:r>
    </w:p>
    <w:p>
      <w:r>
        <w:t>Les déclarations de la victime constituent un élément de preuve. Le juge doit, dans l'évaluation globale de l'ensemble des éléments probatoires rassemblés au dossier, les apprécier librement (arrêts 6B_366/2021 du 26 janvier 2022 consid. 2.1.2;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6B_257/2021 du 22 décembre 2021 consid. 1.2; 6B_1498/2020 précité consid. 3.1).</w:t>
      </w:r>
    </w:p>
    <w:p>
      <w:r>
        <w:rPr>
          <w:b/>
        </w:rPr>
        <w:t>E. 1.2</w:t>
      </w:r>
    </w:p>
    <w:p>
      <w:r>
        <w:t>À teneur de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D'après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et les arrêts cités; arrêts 6B_1164/2020 du 10 juin 2021 consid. 3.1; 6B_146/2020 du 5 mai 2020 consid. 2.1). Pour qu'il y ait contrainte en matière sexuelle, il faut que la victime ne soit pas consentante, que l'auteur le sache ou accepte cette éventualité et qu'il passe outre en profitant de la situation ou en utilisant un moyen efficace ( ATF 122 IV 97 consid. 2b; arrêts 6B_367/2021 du 14 décembre 2021 consid. 2.2.1; 6B_1164/2020 précité consid. 3.1). Les art. 189 et 190 CP ne protègent des atteintes à la libre détermination en matière sexuelle que pour autant que l'auteur surmonte ou déjoue la résistance que l'on pouvait raisonnablement attendre de la victime ( ATF 133 IV 49 consid. 4 et l'arrêt cité; arrêts 6B_488/2021 du 22 décembre 2021 consid. 5.4.1; 6B_1164/2020 précité consid. 3.1).</w:t>
      </w:r>
    </w:p>
    <w:p>
      <w:r>
        <w:rPr>
          <w:b/>
        </w:rPr>
        <w:t>E. 1.3</w:t>
      </w:r>
    </w:p>
    <w:p>
      <w:r>
        <w:t>Pour retenir que le recourant avait forcé l'intimée à se livrer à divers rapports sexuels avec lui, la cour cantonale s'est fondée sur les déclarations de la victime, qu'elle a tenues pour crédibles, à l'inverse de celles du recourant, qui s'était pour sa part borné à se réfugier derrière l'antienne de pratiques sexuelles partagées. L'intimée avait ainsi décrit, dans la limite de ses souvenirs et de son état psychique fragile, nombre de violences et abus subis, tout en mentionnant des détails spécifiques, mais néanmoins similaires, lors de chacune de ses auditions. Entendue à au moins six reprises entre juin 2017 et septembre 2020, celle-ci n'avait que très peu varié dans ses explications, n'avait pas cherché à accabler le recourant et s'était montrée mesurée et sincère dans ses propos, minimisant même la responsabilité de l'intéressé et la gravité des faits.</w:t>
      </w:r>
    </w:p>
    <w:p>
      <w:r>
        <w:t>Par ailleurs, l'intimée était également crédible lorsqu'elle avait dépeint son quotidien avec le recourant, qui était rythmé par une consommation importante d'alcool et de stupéfiants, par des violences physiques et verbales répétées, par une attitude dominante du recourant à son égard ainsi que par les injures, menaces et humiliations de ce dernier. Tous ces éléments avaient induit chez elle une pression psychologique intense et l'avaient placée dans un état de peur et de stress permanent, l'ayant conduite à adopter une attitude de soumission. L'emprise du recourant était telle que l'intimée n'était pas parvenue, malgré les circonstances, à se détacher de lui et à le quitter, ce qui était souvent le cas de victimes de violences conjugales et n'était guère surprenant.</w:t>
      </w:r>
    </w:p>
    <w:p>
      <w:r>
        <w:t>Dans ce contexte, le retrait par l'intimée de sa plainte pénale, opérée le 15 janvier 2018, et ses rétractations à cette occasion n'affectaient en rien sa crédibilité. Outre que l'intéressée avait finalement renouvelé sa plainte le 28 juin 2018 ensuite de nouveaux actes de violence, le retrait de plainte évoqué était en effet à mettre en lien avec l'emprise exercée par le recourant, qui l'avait aidée à sortir de la prostitution et subvenait à ses besoins, la plaçant dans un conflit sentimental duquel elle ne parvenait pas à sortir (cf. arrêt attaqué, consid. 3.2.1 p. 17 ss).</w:t>
      </w:r>
    </w:p>
    <w:p>
      <w:r>
        <w:rPr>
          <w:b/>
        </w:rPr>
        <w:t>E. 1.4</w:t>
      </w:r>
    </w:p>
    <w:p>
      <w:r>
        <w:t>S'opposant à l'appréciation opérée par la cour cantonale, le recourant persiste à soutenir que les actes qui lui sont reprochés s'inscrivaient dans le cadre de pratiques sexuelles consenties par l'intimée et, plus généralement, d'une manipulation ourdie par cette dernière dans le but de le conduire, puis de le maintenir en détention.</w:t>
      </w:r>
    </w:p>
    <w:p>
      <w:r>
        <w:rPr>
          <w:b/>
        </w:rPr>
        <w:t>E. 1.4.1</w:t>
      </w:r>
    </w:p>
    <w:p>
      <w:r>
        <w:t>Dans ses développements, le recourant s'attache toutefois, quant à chacun des actes de contrainte sexuelle et de viol qui lui sont reprochés, à remettre en cause la constance des versions présentées par l'intimée et partant la crédibilité de cette dernière, ceci en mettant en évidence de prétendues variations dans ses propos et en rediscutant longuement la portée des déclarations recueillies et le sens à leur donner.</w:t>
      </w:r>
    </w:p>
    <w:p>
      <w:r>
        <w:t>Une telle démarche, appellatoire, est irrecevable dans le recours en matière pénale.</w:t>
      </w:r>
    </w:p>
    <w:p>
      <w:r>
        <w:rPr>
          <w:b/>
        </w:rPr>
        <w:t>E. 1.4.2</w:t>
      </w:r>
    </w:p>
    <w:p>
      <w:r>
        <w:t>Pour le surplus, le recourant ne parvient pas à démontrer que les imprécisions dénoncées iraient au-delà d'éléments périphériques ou d'accroches temporelles, déjà mis en exergue par la cour cantonale, et qui n'étaient selon elle guère surprenants compte tenu de l'état d'angoisse dans lequel se trouvait l'intimée et dès lors que les agissements en cause s'étaient étalés sur plusieurs années. Il en va ainsi notamment lorsqu'il revient sur la description faite par l'intimée des gestes qu'il a précisément réalisés et de la marque de la veste qu'il portait au moment des faits du mois d'août 2012 ou encore lorsqu'il revient sur les circonstances du rapport anal dénoncé en relevant que l'intimée avait expliqué, à au moins deux reprises en cours de procédure, qu'il s'était simplement " trompé de trou ".</w:t>
      </w:r>
    </w:p>
    <w:p>
      <w:r>
        <w:t>Aussi, en tant que l'intimée aurait reconnu avoir régulièrement accepté d'entretenir des rapports sexuels avec le recourant, y compris des jeux et des pratiques " atypiques " - telles des fellations " en gorge profonde " ou l'introduction d'objets dans l'anus -, cet aspect ne permet pas à lui seul, contrairement à ce que le recourant laisse entendre d'une manière quelque peu inadéquate, de déduire un consentement s'agissant précisément de la fellation et de la sodomie en cause, dont les circonstances avaient été individualisées par l'intimée, quand bien même elle n'avait pas été en mesure de les situer précisément sur le plan temporel. Quoi qu'il en soit, comme l'a relevé la cour cantonale, le recourant ne saurait à l'évidence déduire de l'accord donné par l'intimée à un moment précis un assentiment général et illimité pour le futur et en d'autres circonstances.</w:t>
      </w:r>
    </w:p>
    <w:p>
      <w:r>
        <w:t>Par ailleurs, concernant en particulier les faits du mois d'août 2012, l'intimée avait livré le même récit lors de ses auditions des 15 février 2019 et 29 avril 2020, à savoir qu'elle était allée se coucher dans sa propre chambre, que le recourant lui avait mis les mains sur la bouche, qu'elle avait essayé de garder ses cuisses serrées et de se débattre, mais que le recourant était néanmoins parvenu, en la maintenant sous son poids, à la pénétrer par le vagin. Si lors de sa première audition par la police en juin 2017, l'intimée n'avait certes pas déclaré avoir manifesté un refus, la cour cantonale pouvait toutefois considérer sans arbitraire que la seule évocation de cet épisode lors de la première audition démontrait déjà suffisamment qu'elle estimait qu'il ne s'agissait pas d'un rapport sexuel " normal " et qu'un tel acte relevait du droit pénal. Pour le surplus, l'absence d'évocation des actes en cause lors de l'audience du 28 juin 2018 s'expliquait par le fait que celle-ci portait sur les actes dénoncés en dernier lieu, à savoir ceux s'étant déroulés quelque deux semaines auparavant (cf. arrêt attaqué, consid. 3.2.2 p. 19).</w:t>
      </w:r>
    </w:p>
    <w:p>
      <w:r>
        <w:t>Cela étant, compte tenu des déclarations de l'intimée et des autres éléments pris en considération par la cour cantonale, y compris les violences physiques et verbales pour lesquelles le recourant a par ailleurs été condamné, le contexte de dépendance dans lequel l'intimée évoluait et l'attitude de soumission qu'elle avait adoptée au fil des années, il n'est pas arbitraire de considérer comme établis les faits dénoncés par l'intimée et les circonstances les entourant, en particulier s'agissant du fait que celle-ci n'avait pas valablement consenti aux différents rapports sexuels.</w:t>
      </w:r>
    </w:p>
    <w:p>
      <w:r>
        <w:rPr>
          <w:b/>
        </w:rPr>
        <w:t>E. 1.5</w:t>
      </w:r>
    </w:p>
    <w:p>
      <w:r>
        <w:t>Au reste, le récit de l'intimée fait manifestement état d'un usage de la force physique par le recourant, celui-ci ayant entrepris pour chacun des actes dénoncés des gestes destinés à limiter la capacité de l'intimée à lui résister. A cet égard, il ne saurait non plus être fait abstraction de l'emprise psychologique exercée par le recourant, qui avait régulièrement humilié, injurié et menacé l'intimée et l'avait ainsi maintenue dans un état de stress et de peur persistant, l'ayant conduite à adopter une attitude de soumission à son égard.</w:t>
      </w:r>
    </w:p>
    <w:p>
      <w:r>
        <w:t>Il apparaît ainsi que le recourant a bien fait usage de contrainte pour parvenir à ses fins, celle-là ayant en l'occurrence pris la forme tant de violences physiques que de pressions psychiques.</w:t>
      </w:r>
    </w:p>
    <w:p>
      <w:r>
        <w:rPr>
          <w:b/>
        </w:rPr>
        <w:t>E. 1.6</w:t>
      </w:r>
    </w:p>
    <w:p>
      <w:r>
        <w:t>Sur le plan subjectif, comme l'a relevé la cour cantonale sans arbitraire, le recourant ne pouvait pas ignorer qu'au moment des faits, l'intimée ne souhaitait pas entretenir les rapports sexuels en cause, ni que les gestes qu'il avait entrepris étaient propres à l'empêcher de lui résister. Il ne pouvait par ailleurs qu'être conscient que le climat de peur dans lequel il avait placé l'intimée, de même que la force physique employée à son encontre, étaient propres à la contraindre à subir les actes reprochés (cf. arrêt attaqué, consid. 4.2.2 p. 24), de sorte que les comportements du recourant relèvent de l'intention.</w:t>
      </w:r>
    </w:p>
    <w:p>
      <w:r>
        <w:rPr>
          <w:b/>
        </w:rPr>
        <w:t>E. 1.7</w:t>
      </w:r>
    </w:p>
    <w:p>
      <w:r>
        <w:t>Dès lors, au regard de ce qui précède, la condamnation du recourant pour contrainte sexuelle et viol n'est pas contraire au droit fédéral.</w:t>
      </w:r>
    </w:p>
    <w:p>
      <w:r>
        <w:rPr>
          <w:b/>
        </w:rPr>
        <w:t>E. 2</w:t>
      </w:r>
    </w:p>
    <w:p>
      <w:r>
        <w:t>Au surplus, le recourant ne revient pas sur les autres infractions pour lesquelles il a été condamné, ni ne conteste spécifiquement les peines et la mesure de traitement ambulatoire prononcées, ni encore ne précise, à défaut d'avoir obtenu l'acquittement requis, les motifs qui doivent conduire à sa libération immédiate.</w:t>
      </w:r>
    </w:p>
    <w:p>
      <w:r>
        <w:rPr>
          <w:b/>
        </w:rPr>
        <w:t>E. 3</w:t>
      </w:r>
    </w:p>
    <w:p>
      <w:r>
        <w:t>Il s'ensuit que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