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801/2023 vom 26. Juni 2023</w:t>
      </w:r>
    </w:p>
    <w:p>
      <w:r>
        <w:t>Bundesgericht, 2023-06-26, FR</w:t>
      </w:r>
    </w:p>
    <w:p>
      <w:r>
        <w:rPr>
          <w:b/>
        </w:rPr>
        <w:t xml:space="preserve">Quelle: </w:t>
      </w:r>
      <w:r>
        <w:t>https://mcp.opencaselaw.ch/entscheid/bger_6B_801_2023</w:t>
      </w:r>
    </w:p>
    <w:p>
      <w:r>
        <w:t>FR: TF 6B 801/2023 du 26 juin 2023</w:t>
      </w:r>
    </w:p>
    <w:p>
      <w:r>
        <w:t>IT: TF 6B 801/2023 del 26 giugno 2023</w:t>
      </w:r>
    </w:p>
    <w:p>
      <w:pPr>
        <w:pStyle w:val="Heading2"/>
      </w:pPr>
      <w:r>
        <w:t>Regeste</w:t>
      </w:r>
    </w:p>
    <w:p>
      <w:r>
        <w:t>Irrecevabilité formelle du recours en matière pénale (ordonnance de classement et non-entrée en matière; abus de confiance, escroquerie, faux dans les titres) | Procédure pénale</w:t>
      </w:r>
    </w:p>
    <w:p>
      <w:pPr>
        <w:pStyle w:val="Heading2"/>
      </w:pPr>
      <w:r>
        <w:t>Erwägungen</w:t>
      </w:r>
    </w:p>
    <w:p>
      <w:r>
        <w:rPr>
          <w:b/>
        </w:rPr>
        <w:t>E. 1</w:t>
      </w:r>
    </w:p>
    <w:p>
      <w:r>
        <w:t>Par arrêt du 8 mai 2023, la Chambre pénale de recours de la Cour de justice de la République et canton de Genève a rejeté les recours formés par A._________ contre, d'une part, l'ordonnance rendue le 11 novembre 2022 par laquelle le Ministère public genevois a refusé d'entrer en matière sur la plainte déposée par le prénommé contre Me B._________ et, d'autre part, contre deux ordonnances du 12 décembre 2022 par lesquelles le Ministère public genevois a classé les procédures ouvertes à la suite des plaintes déposées par A._________ les 12 juin 2018 et 29 mai 2020 contre notamment D._________ et C._________ pour abus de confiance, escroquerie, gestion déloyale et faux dans les titres. A._________ forme un recours en matière pénale au Tribunal fédéral contre l'arrêt précité. Il conclut, avec suite de frais et dépens, à son annulation et au renvoi de la procédure au Ministère public genevois pour qu'il complète l'instruction en vue d'une mise en accusation de C._________ et pour qu'il ouvre une instruction en vue d'une mise en accusation de Me B._________.</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Si la partie plaignante invoque des infractions distinctes, a fortiori commises par plusieurs personnes, elle doit mentionner par rapport à chacune d'elles en quoi consiste son dommage (arrêts 6B_373/2023 du 26 avril 2023 consid. 2.1; 6B_176/2022 du 3 mars 2023 consid. 4; 6B_1177/2022 du 21 février 2023 consid. 1.2.1).</w:t>
      </w:r>
    </w:p>
    <w:p>
      <w:r>
        <w:rPr>
          <w:b/>
        </w:rPr>
        <w:t>E. 2.2</w:t>
      </w:r>
    </w:p>
    <w:p>
      <w:r>
        <w:t>Le recourant ne se détermine nullement sur un éventuel tort moral ou dommage, ni sur leur principe, ni sur leur quotité, la simple affirmation qu'il aurait un intérêt juridique à ce que l'instruction soit reprise "puisqu'il ne pourrait pas faire valoir de prétentions civiles à l'encontre de C._________ ni B._________, dans la mesure où ils ne seraient pas mis en prévention" étant insuffisante. Au demeurant, invoquant des infractions distinctes, il lui incombait d'indiquer, pour chacune d'elle, en quoi consisterait le dommage ou le tort moral. L'absence d'explications sur la question des prétentions civiles exclut la qualité pour recourir du recourant sur le fond de la cause.</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En tant que le recourant invoque les art. 6 et 13 CEDH , il ne fait, en réalité, que prétendre que l'absence de poursuite des auteurs l'empêcherait d'obtenir leur condamnation et violerait sont droit à un procès équitable et à l'égalité des armes. Ce faisant, il ne fait valoir aucun moyen qui peut être séparé du fond et ses griefs ne sauraient non plus fonder sa qualité pour recourir.</w:t>
      </w:r>
    </w:p>
    <w:p>
      <w:r>
        <w:rPr>
          <w:b/>
        </w:rPr>
        <w:t>E. 3</w:t>
      </w:r>
    </w:p>
    <w:p>
      <w:r>
        <w:t>Faute de satisfaire aux conditions de recevabilité d'un recours en matière pénale au Tribunal fédéral (art. 42 al. 1 et 2 et 106 al. 2 LTF), le recours doit être écarté en application de l' art. 108 al. 1 let. a et b LTF . Il est exceptionnellement statué sans frais ( art. 66 al. 1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