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800/2009 vom 26. Oktober 2009</w:t>
      </w:r>
    </w:p>
    <w:p>
      <w:r>
        <w:t>Bundesgericht, 2009-10-26, DE</w:t>
      </w:r>
    </w:p>
    <w:p>
      <w:r>
        <w:rPr>
          <w:b/>
        </w:rPr>
        <w:t xml:space="preserve">Quelle: </w:t>
      </w:r>
      <w:r>
        <w:t>https://mcp.opencaselaw.ch/entscheid/bger_6B_800_2009</w:t>
      </w:r>
    </w:p>
    <w:p>
      <w:r>
        <w:t>FR: TF 6B 800/2009 du 26 octobre 2009</w:t>
      </w:r>
    </w:p>
    <w:p>
      <w:r>
        <w:t>IT: TF 6B 800/2009 del 26 ottobre 2009</w:t>
      </w:r>
    </w:p>
    <w:p>
      <w:pPr>
        <w:pStyle w:val="Heading2"/>
      </w:pPr>
      <w:r>
        <w:t>Regeste</w:t>
      </w:r>
    </w:p>
    <w:p>
      <w:r>
        <w:t>Strafzumessung, Verweigerung des bedingten Strafvollzug (BetmG-Widerhandlung) | Strafrecht (allgemein)</w:t>
      </w:r>
    </w:p>
    <w:p>
      <w:pPr>
        <w:pStyle w:val="Heading2"/>
      </w:pPr>
      <w:r>
        <w:t>Erwägungen</w:t>
      </w:r>
    </w:p>
    <w:p>
      <w:r>
        <w:rPr>
          <w:b/>
        </w:rPr>
        <w:t>E. 1.1</w:t>
      </w:r>
    </w:p>
    <w:p>
      <w:r>
        <w:t>Der Beschwerdeführer rügt eine Verletzung von Art. 43 StGB . Er führt aus, mit zwölf Monaten sei der zu vollziehende Teil der Freiheitsstrafe unnötig und geradezu willkürlich hoch angesetzt worden. Einerseits wiege sein Verschulden nicht derart schwer und andererseits könne ihm eine günstige Zukunftsprognose gestellt werden. Es mache schlicht keinen Sinn, dass er als nigerianischer Ersttäter, der sich seit seiner Haftentlassung wohl verhalten habe und in Hamburg lebe, nochmals für rund sechs Monate in die Schweiz ins Gefängnis kommen müsse und hierdurch wohl seine Arbeitsstelle in Deutschland verliere (Beschwerde S. 4 f.).</w:t>
      </w:r>
    </w:p>
    <w:p>
      <w:r>
        <w:rPr>
          <w:b/>
        </w:rPr>
        <w:t>E. 1.2</w:t>
      </w:r>
    </w:p>
    <w:p>
      <w:r>
        <w:t>Die Vorinstanz hat erwogen, der Beschwerdeführer sei am Import von insgesamt 2'551 Gramm Kokaingemisch bzw. 1'872 Gramm reinem Kokain als Mittäter beteiligt gewesen. Wenngleich seine Stellung in der Hierarchie des Drogenhandels vergleichsweise nicht sehr bedeutend gewesen sein möge, lasse doch der grosse Aufwand, welchen er zur Förderung des geplanten Drogenimports betrieben habe, auf eine erhebliche kriminelle Energie schliessen. Der Beschwerdeführer sei nicht drogensüchtig und habe nicht aus einer finanziellen Notlage heraus gehandelt. Sein Verschulden wiege insgesamt erheblich. Unter Einbezug der Täterkomponenten erscheine eine Freiheitsstrafe von 36 Monaten angemessen, womit die Voraussetzungen für die Gewährung des teilbedingten Strafvollzugs erfüllt seien. In subjektiver Hinsicht sei das Fehlen einer ungünstigen Prognose erforderlich. Der Beschwerdeführer sei nicht vorbestraft und gehe einer geregelten Arbeit nach. Negativ zu veranschlagen sei jedoch, dass er aus monetären Beweggründen gehandelt habe, was zeige, dass seine Hemmschwelle zu kriminellen Handlungen offenbar nicht allzu hoch liege. Obwohl folglich ein gewisses Rückfallrisiko bestehen bleibe, lasse sich aufgrund einer Gesamtbetrachtung die Vermutung einer günstigen Prognose nicht widerlegen. Zusammenfassend sei es sachgerecht, zwölf Monate der Strafe vollziehen zu lassen (angefochtenes Urteil S. 7-15).</w:t>
      </w:r>
    </w:p>
    <w:p>
      <w:r>
        <w:rPr>
          <w:b/>
        </w:rPr>
        <w:t>E. 1.3</w:t>
      </w:r>
    </w:p>
    <w:p>
      <w:r>
        <w:t>Das Gericht kann den Vollzug einer Geldstrafe, von gemeinnütziger Arbeit oder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(Abs. 2). Bei der teilbedingten Freiheitsstrafe muss sowohl der aufgeschobene als auch der zu vollziehende Teil mindestens sechs Monate betragen (Abs. 3 Satz 1). Das Gericht hat im Zeitpunkt des Urteils den aufgeschobenen und den zu vollziehenden Strafteil zu bestimmen und die beiden Teile in ein angemessenes Verhältnis zu bringen. Innerhalb des gesetzlichen Rahmens liegt die Festsetzung im pflichtgemässen Ermessen des Gerichts. Als Bemessungsregel ist das "Verschulden" zu beachten, dem in genügender Weise Rechnung zu tragen ist ( Art. 43 Abs. 1 StGB ). Das Verhältnis der Strafteile ist so festzulegen,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 Art. 47 StGB ) gebotene Mass nicht unterschreiten ( BGE 134 IV 1 E. 5.6).</w:t>
      </w:r>
    </w:p>
    <w:p>
      <w:r>
        <w:rPr>
          <w:b/>
        </w:rPr>
        <w:t>E. 1.4</w:t>
      </w:r>
    </w:p>
    <w:p>
      <w:r>
        <w:t>Die Vorinstanz hat bei der Festsetzung des aufgeschobenen und des zu vollziehenden Teils der Strafe korrekt zum einen das Verschulden des Beschwerdeführers und zum andern die Wahrscheinlichkeit seiner Legalbewährung gewürdigt. Der Tatvorwurf an den Beschwerdeführer wiegt schwer, da er sich in Bereicherungsabsicht am Import einer grossen Drogenmenge beteiligt hat. Vor diesem Hintergrund hat die Vorinstanz sein Verschulden zu Recht als erheblich eingestuft. Nicht zu beanstanden ist weiter, dass sie aufgrund der Gesamtumstände auf ein gewisses Rückfallrisiko des Beschwerdeführers geschlossen hat. Ausgehend hiervon hat die Vorinstanz das ihr zukommende Ermessen nicht verletzt, indem sie den zu vollziehenden Teil der Strafe - innerhalb der gesetzlich vorgegebenen Grenzen zwischen minimal sechs und maximal 18 Monaten (vgl. E. 1.3) - auf zwölf Monate festgesetzt hat. Wie die Vorinstanz im Übrigen zutreffend festgehalten hat, handelt es sich beim drohenden Verlust der Arbeitsstelle um eine unmittelbare gesetzmässige Folge jeder freiheitsentziehenden Sanktion. Berufliche Schwierigkeiten können mithin für sich allein nicht dazu führen, dass die Schwere des Verschuldens in den Hintergrund tritt und der zu vollziehende Teil der Freiheitsstrafe unter Einbezug spezialpräventiver Gesichtspunkte auf das gesetzliche Minimum herabgesetzt wird (vgl. insoweit auch das Urteil des Bundesgerichts 6S.313/2002 vom 18. Februar 2003 E. 5.3). Ebenso wenig ist einzusehen, weshalb ein im (nahen) Ausland wohnhafter Delinquent per se milder bestraft werden sollte als ein in der Schweiz lebender Straftäter (vgl. angefochtenes Urteil S. 10).</w:t>
      </w:r>
    </w:p>
    <w:p>
      <w:r>
        <w:rPr>
          <w:b/>
        </w:rPr>
        <w:t>E. 2</w:t>
      </w:r>
    </w:p>
    <w:p>
      <w:r>
        <w:t>Die Beschwerde ist abzuweisen. Da das Rechtsmittel von vornherein aussichtslos war, kann dem Gesuch um unentgeltliche Rechtspflege nicht entsprochen werden ( Art. 64 Abs. 1 BGG ). Bei diesem Verfahrensausgang sind die bundesgerichtlichen Kosten dem Beschwerdeführer aufzuerlegen ( Art. 66 Abs. 1 BGG ). Bei der Festsetzung der Gerichtsgebühr ist seinen finanziellen Verhältnissen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