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6B_7/2021 vom 19. Februar 2021</w:t>
      </w:r>
    </w:p>
    <w:p>
      <w:r>
        <w:t>Bundesgericht, 2021-02-19, DE</w:t>
      </w:r>
    </w:p>
    <w:p>
      <w:r>
        <w:rPr>
          <w:b/>
        </w:rPr>
        <w:t xml:space="preserve">Quelle: </w:t>
      </w:r>
      <w:r>
        <w:t>https://mcp.opencaselaw.ch/entscheid/bger_6B_7_2021</w:t>
      </w:r>
    </w:p>
    <w:p>
      <w:r>
        <w:t>FR: TF 6B_7/2021 du 19 février 2021</w:t>
      </w:r>
    </w:p>
    <w:p>
      <w:r>
        <w:t>IT: TF 6B_7/2021 del 19 febbraio 2021</w:t>
      </w:r>
    </w:p>
    <w:p>
      <w:pPr>
        <w:pStyle w:val="Heading2"/>
      </w:pPr>
      <w:r>
        <w:t>Erwägungen</w:t>
      </w:r>
    </w:p>
    <w:p>
      <w:r>
        <w:rPr>
          <w:b/>
        </w:rPr>
        <w:t>E. 1</w:t>
      </w:r>
    </w:p>
    <w:p>
      <w:r>
        <w:t>Staatsanwaltschaft des Kantons St. Gallen, Spisergasse 15, 9001 St. Gallen, Beschwerdegegnerin,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äussert sich in seiner Eingabe nicht zur Legitimation und zur Frage der Zivilforderungen. Inwiefern ihm ein Vermögensschaden unmittelbar im Zusammenhang mit dem angezeigten Deliktssachverhalt entstanden sein soll, zeigt er nicht auf. Auch dem angefochtenen Entscheid kann insoweit nichts entnommen werden. Dass er dem Beschwerdegegner eine Entschädigung in Höhe von Fr. 1'000.-- zu zahlen hat (vgl. nachstehend E. 5), stellte, wenn überhaupt, einen mittelbaren Schaden dar, welcher eine Geschädigtenstellung im Sinne von Art. 115 Abs. 1 StPO von vornherein nicht zu begründen vermöchte. Eine Genugtuung nach Art. 49 OR ist zudem nur geschuldet, sofern die Schwere einer Persönlichkeitsverletzung dies rechtfertigt, was vorliegend ebenfalls weder dargetan noch offensichtlich ist. Dem Beschwerdeführer fehlt es demnach an der Beschwerdelegitimation in der Sache im Sinne von Art. 81 Abs. 1 lit. b Ziff. 5 BGG.</w:t>
      </w:r>
    </w:p>
    <w:p>
      <w:r>
        <w:rPr>
          <w:b/>
        </w:rPr>
        <w:t>E. 4</w:t>
      </w:r>
    </w:p>
    <w:p>
      <w:r>
        <w:t>Formelle Rügen, zu deren Vorbringen er unbesehen der fehlenden Legitimation in der Sache befugt wäre (sog. "Star-Praxis"; vgl. BGE 141 IV 1 E. 1.1 mit Hinweisen), erhebt der Beschwerdeführer nicht.</w:t>
      </w:r>
    </w:p>
    <w:p>
      <w:r>
        <w:rPr>
          <w:b/>
        </w:rPr>
        <w:t>E. 5</w:t>
      </w:r>
    </w:p>
    <w:p>
      <w:r>
        <w:t>Das nicht anhand genommene Verfahren bezieht sich auf ein Antragsdelikt (vgl. Art. 173 ff. StGB ). Entsprechend auferlegte die Vorinstanz dem Beschwerdeführer zu Recht eine an den Beschwerdegegner zu zahlende Entschädigung (Art. 436 Abs. 1 i.V.m. Art. 432 Abs. 2 StPO ; BGE 141 IV 476 ; zur Publikation bestimmtes Urteil 6B_582/2020 vom 17. Dezember 2020 E. 4). Soweit sich der Beschwerdeführer gegen die Höhe der Entschädigung wendet, genügen seine Vorbringen den Begründungsanforderungen nicht. Insbesondere zeigt er nicht auf, dass die Entschädigung der Sache nach und/oder vom Umfang her unangemessen sein und inwiefern die Vorinstanz das ihr diesbezüglich zustehende Ermessen überschritten haben soll.</w:t>
      </w:r>
    </w:p>
    <w:p>
      <w:r>
        <w:rPr>
          <w:b/>
        </w:rPr>
        <w:t>E. 6</w:t>
      </w:r>
    </w:p>
    <w:p>
      <w:r>
        <w:t>Auf die Beschwerde ist im Verfahren nach Art. 108 BGG nicht einzutreten. Dem Beschwerdeführer sind die Gerichtskosten aufzuerlegen ( Art. 66 Abs. 1 BGG ).</w:t>
      </w:r>
    </w:p>
    <w:p>
      <w:r>
        <w:t>Demnach erkennt das präsidierende Mitglied:</w:t>
      </w:r>
    </w:p>
    <w:p>
      <w:r>
        <w:t>1.</w:t>
      </w:r>
    </w:p>
    <w:p>
      <w:r>
        <w:t>Auf die Beschwerde wird nicht eingetreten.</w:t>
      </w:r>
    </w:p>
    <w:p>
      <w:r>
        <w:t>2.</w:t>
      </w:r>
    </w:p>
    <w:p>
      <w:r>
        <w:t>Die Gerichtskosten von Fr. 800.-- werden dem Beschwerdeführer auferlegt.</w:t>
      </w:r>
    </w:p>
    <w:p>
      <w:r>
        <w:t>3.</w:t>
      </w:r>
    </w:p>
    <w:p>
      <w:r>
        <w:t>Dieses Urteil wird den Parteien und der Anklagekammer des Kantons St. Gallen schriftlich mitgeteilt.</w:t>
      </w:r>
    </w:p>
    <w:p>
      <w:r>
        <w:t>Lausanne, 19. Februar 2021</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