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6B_79/2015 vom 28. Januar 2015</w:t>
      </w:r>
    </w:p>
    <w:p>
      <w:r>
        <w:t>Bundesgericht, 2015-01-28, FR</w:t>
      </w:r>
    </w:p>
    <w:p>
      <w:r>
        <w:rPr>
          <w:b/>
        </w:rPr>
        <w:t xml:space="preserve">Quelle: </w:t>
      </w:r>
      <w:r>
        <w:t>https://mcp.opencaselaw.ch/entscheid/bger_6B_79_2015</w:t>
      </w:r>
    </w:p>
    <w:p>
      <w:r>
        <w:t>FR: TF 6B_79/2015 du 28 janvier 2015</w:t>
      </w:r>
    </w:p>
    <w:p>
      <w:r>
        <w:t>IT: TF 6B_79/2015 del 28 gennaio 2015</w:t>
      </w:r>
    </w:p>
    <w:p>
      <w:pPr>
        <w:pStyle w:val="Heading2"/>
      </w:pPr>
      <w:r>
        <w:t>Erwägungen</w:t>
      </w:r>
    </w:p>
    <w:p>
      <w:r>
        <w:rPr>
          <w:b/>
        </w:rPr>
        <w:t>E. 1</w:t>
      </w:r>
    </w:p>
    <w:p>
      <w:r>
        <w:t>Par arrêt du 30 septembre 2014, la Chambre des recours pénale du Tribunal cantonal vaudois a rejeté le recours formé par X.________ contre l'ordonnance du 11 août 2014, par laquelle le Ministère public de l'arrondissement de Lausanne a refusé d'entrer en matière sur la plainte pénale déposée par X.________ contre A.________ pour « violation de la sphère privée et pour cessation d'une atteinte ».</w:t>
      </w:r>
    </w:p>
    <w:p>
      <w:r>
        <w:t>X.________ recourt contre cet arrêt. Il conclut à l'annulation de cette décision et au renvoi de la cause à la cour cantonale afin qu'une instruction pénale soit ouverte. Il requiert le bénéfice de l'assistance judiciaire.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(arrêt 6B_261/2014 du 4 décembre 2014 consid. 1.1 destiné à la publication; ATF 137 IV 219 consid. 2.4 p. 222 s.).</w:t>
      </w:r>
    </w:p>
    <w:p>
      <w:r>
        <w:t>En l'espèce, le recourant n'expose, dans son recours, d'aucune manière quelles prétentions civiles il entend invoquer et contre qui. Il ressort certes de la plainte déposée que le recourant aurait réclamé 5000 fr. à « A.________ ». On ignore toutefois si cette entité est susceptible d'être actionnée judiciairement. On ignore de même à quel titre le recourant réclame cette somme. A cet égard, il convient de souligner que le recourant reproche à « A.________ » de rendre public, par un site internet, des données privées le concernant. Il n'expose cependant pas de quelles données il s'agirait et en quoi cette publication lui causerait un dommage susceptible d'être réparé financièrement. On peut, dès lors, se limiter à rappeler que l'allocation d'une indemnité pour tort moral fondée sur l' 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 1B_648/2012 du 11 juillet 2013 consid. 1.2). L'absence de toute explication sur ces différents points exclut la qualité pour agir du recourant en application de l'art. 81 al. 1 let. b ch. 5 LTF.</w:t>
      </w:r>
    </w:p>
    <w:p>
      <w:r>
        <w:t>Pour le surplus, le recourant n'invoque expressément aucune violation de son droit de porter plainte (art. 81 al. 1 let. b ch. 6 LTF). Il n'allègue pas non plus la violation de ses droits de partie équivalant à un déni de justice formel et, discutant de surcroît exclusivement le fond de la cause, il ne peut prétendre être légitimé à recourir pour l'un ou l'autre de ces motifs ( ATF 136 IV 29 consid. 1.9 p. 40 et les références citées; ATF 129 IV 206 consid. 1 en relation avec l'ancien art. 270 let . f PPF; arrêt 6B_996/2013 du 22 janvier 2014).</w:t>
      </w:r>
    </w:p>
    <w:p>
      <w:r>
        <w:rPr>
          <w:b/>
        </w:rPr>
        <w:t>E. 3</w:t>
      </w:r>
    </w:p>
    <w:p>
      <w:r>
        <w:t>Le motif d'irrecevabilité est manifeste. Le recours doit être écarté en application de l' art. 108 al. 1 let. a LTF . Faute de chances de succès, l'assistance judiciaire doit être refusée ( art. 64 al. 1 LTF ). Le recourant succombe. Il supporte les frais de la procédure,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