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798/2015 vom 22. Juli 2016</w:t>
      </w:r>
    </w:p>
    <w:p>
      <w:r>
        <w:t>Bundesgericht, 2016-07-22, FR</w:t>
      </w:r>
    </w:p>
    <w:p>
      <w:r>
        <w:rPr>
          <w:b/>
        </w:rPr>
        <w:t xml:space="preserve">Quelle: </w:t>
      </w:r>
      <w:r>
        <w:t>https://mcp.opencaselaw.ch/entscheid/bger_6B_798_2015</w:t>
      </w:r>
    </w:p>
    <w:p>
      <w:r>
        <w:t>FR: TF 6B 798/2015 du 22 juillet 2016</w:t>
      </w:r>
    </w:p>
    <w:p>
      <w:r>
        <w:t>IT: TF 6B 798/2015 del 22 luglio 2016</w:t>
      </w:r>
    </w:p>
    <w:p>
      <w:pPr>
        <w:pStyle w:val="Heading2"/>
      </w:pPr>
      <w:r>
        <w:t>Regeste</w:t>
      </w:r>
    </w:p>
    <w:p>
      <w:r>
        <w:t>Ordonnance de non-entrée en matière (faux rapport, etc.) | Procédure pénale</w:t>
      </w:r>
    </w:p>
    <w:p>
      <w:pPr>
        <w:pStyle w:val="Heading2"/>
      </w:pPr>
      <w:r>
        <w:t>Erwägungen</w:t>
      </w:r>
    </w:p>
    <w:p>
      <w:r>
        <w:rPr>
          <w:b/>
        </w:rPr>
        <w:t>E. 1</w:t>
      </w:r>
    </w:p>
    <w:p>
      <w:r>
        <w:t>Le Tribunal fédéral examine d'office et librement la recevabilité des recours qui lui sont soumis ( ATF 140 IV 57 consid. 2 p. 59).</w:t>
      </w:r>
    </w:p>
    <w:p>
      <w:r>
        <w:rPr>
          <w:b/>
        </w:rPr>
        <w:t>E. 2.1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qui doivent en conséquence être déduites ordinairement devant les tribunaux civils. Il s'agit principalement des prétentions en réparation du dommage et du tort moral au sens des art. 41 ss CO .</w:t>
      </w:r>
    </w:p>
    <w:p>
      <w:r>
        <w:rPr>
          <w:b/>
        </w:rPr>
        <w:t>E. 2.2</w:t>
      </w:r>
    </w:p>
    <w:p>
      <w:r>
        <w:t>Lorsque le recours est dirigé contre une décision de non-entrée en matière ou de classement de l'action pénale, il n'est pas nécessaire que la partie plaignante ait déjà pris des conclusions civiles. En revanche, elle doit expliquer dans son mémoire quelles prétentions civiles elle entend faire valoir à moins que, compte tenu notamment de la nature de l'infraction alléguée, l'on puisse déduire directement et sans ambiguïté quelles prétentions civiles pourraient être élevées et en quoi la décision attaquée pourrait influencer négativement leur jugement ( ATF 141 IV 1 consid. 1.1 p. 4).</w:t>
      </w:r>
    </w:p>
    <w:p>
      <w:r>
        <w:rPr>
          <w:b/>
        </w:rPr>
        <w:t>E. 2.3</w:t>
      </w:r>
    </w:p>
    <w:p>
      <w:r>
        <w:t>La recourante allègue pouvoir invoquer contre la doctoresse E.________ des dommages-intérêts pour tort moral à hauteur de 1'500 fr. en raison d'une atteinte à sa cellule familiale et à sa fille, ainsi que le remboursement des frais qu'elle a engagés pour l'huissier judiciaire et la retranscription de l'enregistrement, soit un montant de 3'000 francs.</w:t>
      </w:r>
    </w:p>
    <w:p>
      <w:r>
        <w:rPr>
          <w:b/>
        </w:rPr>
        <w:t>E. 2.4</w:t>
      </w:r>
    </w:p>
    <w:p>
      <w:r>
        <w:t>Selon la jurisprudence, le rapport juridique existant entre l'expert et l'autorité judiciaire cantonale qui l'a mandaté relève du droit public cantonal ( ATF 134 I 159 consid. 3 p. 163; voir aussi arrêt 6B_1168/2014 du 13 février 2015 consid. 1.2). En vertu de l'art. 2 de la loi [du canton de Genève] sur la responsabilité de l'Etat et des communes du 24 février 1989 (LREC; RS/GE A 2 40), l'Etat de Genève et les communes du canton sont tenus de réparer le dommage résultant pour des tiers d'actes illicites commis soit intentionnellement, soit par négligence ou imprudence par leurs fonctionnaires ou agents dans l'accomplissement de leur travail (al. 1); les lésés n'ont aucune action directe envers les fonctionnaires ou agents (al. 2). Le canton de Genève ayant fait usage de la faculté réservée à l' art. 61 al. 1 CO , la recourante ne dispose donc que d'une prétention de droit public à faire valoir non pas contre la doctoresse E.________, mais contre l'Etat. De telles prétentions ne peuvent être invoquées dans le procès pénal par voie d'adhésion et ne constituent, dès lors, pas des prétentions civiles au sens de l' art. 81 LTF ( ATF 138 IV 86 consid. 3.1 p. 88; 133 IV 228 consid. 2.3.3 p. 234; 128 IV 188 consid. 2). Quant aux frais d'huissier et de retranscription de l'enregistrement, ils ne peuvent pas faire l'objet de prétentions civiles au sens de cette même disposition dès lors qu'ils ne découlent pas directement de l'infraction invoquée (voir arrêt 6B_768/2013 du 12 novembre 2013 consid. 1.3). Il s'ensuit que la recourante n'a pas la qualité pour recourir sur la base de l'art. 81 al. 1 let. b ch. 5 LTF.</w:t>
      </w:r>
    </w:p>
    <w:p>
      <w:r>
        <w:rPr>
          <w:b/>
        </w:rPr>
        <w:t>E. 3.1</w:t>
      </w:r>
    </w:p>
    <w:p>
      <w:r>
        <w:t>La recourante fait également valoir un droit de recours fondé sur les art. 3 et 13 CEDH , 7 Pacte ONU II, 10 al. 3 Cst. et 13 de la Convention des Nations Unies du 10 décembre 1984 contre la torture et autres peines ou traitements cruels, inhumains ou dégradants.</w:t>
      </w:r>
    </w:p>
    <w:p>
      <w:r>
        <w:rPr>
          <w:b/>
        </w:rPr>
        <w:t>E. 3.2</w:t>
      </w:r>
    </w:p>
    <w:p>
      <w:r>
        <w:t>La jurisprudence admet dans certains cas la qualité pour recourir de la partie plaignante lorsque les actes dénoncés sont susceptibles de tomber sous le coup des dispositions prohibant les actes de torture et autres peines ou traitements cruels ou dégradants (cf. ATF 138 IV 86 consid. 3.1.1 p. 88). Un mauvais traitement doit en principe être intentionnel et atteindre un minimum de gravité (cf. arrêt 6B_474/2013 du 23 août 2013 consid. 1. 4).</w:t>
      </w:r>
    </w:p>
    <w:p>
      <w:r>
        <w:rPr>
          <w:b/>
        </w:rPr>
        <w:t>E. 3.3</w:t>
      </w:r>
    </w:p>
    <w:p>
      <w:r>
        <w:t>En l'occurrence, la recourante n'expose pas en quoi elle aurait été victime d'un traitement inhumain ou dégradant de la part de l'experte. En particulier, en tant que la recourante semble voir un motif d'application de l' art. 3 CEDH dans le fait que l'experte a prétendument omis de rapporter dans son expertise certains propos inquiétants de l'enfant au sujet du comportement du père, elle perd de vue l'objet de la procédure de classement. Celle-ci ne portait pas sur d'éventuels actes contre l'intégrité sexuelle de l'enfant mais uniquement sur le point de savoir si les actes reprochés à l'experte dans le cadre de sa mission d'expertise réunissaient les éléments constitutifs d'un faux témoignage et d'un faux rapport en justice. Or, ces infractions ne sauraient en elles-mêmes être assimilées à des mauvais traitements au sens de la disposition invoquée. La recourante ne peut donc se voir reconnaître la qualité pour recourir sous cet angle. Par identité de motifs, les autres dispositions qu'elle cite n'entrent pas non plus en considération. La recourante ne présente du reste aucune motivation quant à leur pertinence dans son cas ( art. 42 al. 2 LTF ).</w:t>
      </w:r>
    </w:p>
    <w:p>
      <w:r>
        <w:rPr>
          <w:b/>
        </w:rPr>
        <w:t>E. 4.1</w:t>
      </w:r>
    </w:p>
    <w:p>
      <w:r>
        <w:t>Indépendamment des conditions posées par l' art. 81 al. 1 LTF , la partie plaignante est également habilitée à se plaindre d'une violation de ses droits de partie équivalant à un déni de justice formel, sans toutefois pourvoir faire valoir par ce biais, même indirectement, des moyens qui ne peuvent être séparés du fond ( ATF 141 IV 1 consid. 1.1 p. 5).</w:t>
      </w:r>
    </w:p>
    <w:p>
      <w:r>
        <w:rPr>
          <w:b/>
        </w:rPr>
        <w:t>E. 4.2.1</w:t>
      </w:r>
    </w:p>
    <w:p>
      <w:r>
        <w:t>La recourante se plaint tout d'abord d'une violation de son droit d'être entendue ( art. 29 al. 2 Cst. ) par la cour cantonale. D'une part, elle lui reproche de ne pas s'être prononcée sur l'application de l' art. 3 CEDH alors qu'elle avait invoqué sa qualité pour recourir sur cette base dans son recours cantonal. D'autre part, elle soutient que la cour cantonale ne pouvait déclarer son recours irrecevable faute d'un intérêt actuel et pratique à recourir au sens de l' art. 382 al. 1 CPP , sans lui avoir préalablement donné l'occasion de prendre position à ce sujet.</w:t>
      </w:r>
    </w:p>
    <w:p>
      <w:r>
        <w:rPr>
          <w:b/>
        </w:rPr>
        <w:t>E. 4.2.2</w:t>
      </w:r>
    </w:p>
    <w:p>
      <w:r>
        <w:t>Le droit d'être entendu comprend notamment le droit pour la partie intéressée de s'exprimer sur les éléments pertinents avant qu'une décision touchant sa situation juridique ne soit prise ( ATF 137 II 266 consid. 3.2 p. 270). Ce droit porte avant tout sur les questions de fait. Les parties doivent éventuellement aussi être entendues sur les questions de droit lorsque l'autorité concernée entend se fonder sur des normes légales dont la prise en compte ne pouvait pas être raisonnablement prévue par les parties ( ATF 129 II 492 consid. 2.2 p. 505 et les références citées). Par ailleurs, une autorité se rend coupable d'une violation du droit d'être entendu si elle omet de se prononcer sur des griefs qui présentent une certaine pertinence ou de prendre en considération des allégués et arguments importants pour la décision à rendre ( ATF 133 III 235 consid. 5.2 p. 248).</w:t>
      </w:r>
    </w:p>
    <w:p>
      <w:r>
        <w:rPr>
          <w:b/>
        </w:rPr>
        <w:t>E. 4.2.3</w:t>
      </w:r>
    </w:p>
    <w:p>
      <w:r>
        <w:t>Comme on l'a vu (consid. 3 supra), il est patent que l' art. 3 CEDH n'est pas applicable en l'espèce. Il n'y a, partant, pas lieu de faire grief à la cour cantonale de ne pas avoir discuté l'application d'une norme qui n'entre manifestement pas en ligne de compte. Il n'en va pas différemment s'agissant de l'absence d'interpellation de la recourante sur la question de son intérêt actuel à recourir contre la décision attaquée. Selon l'art. 382 al. 1 en liaison avec l' art. 393 al. 1 let. a CPP , la qualité pour recourir contre une décision du ministère public est subordonnée à l'existence d'un intérêt juridiquement protégé à l'annulation ou à la modification de celle-ci. De jurisprudence constante, cet intérêt doit être actuel et pratique ( ATF 137 I 296 consid. 4.2 p. 299). Il s'agit d'une condition légale de recevabilité que l'autorité saisie examine d'office et dont il incombe à la partie recourante de démontrer la réalisation. Aussi bien, la recourante, qui bénéficiait de l'assistance d'un conseil professionnel, ne saurait-elle se déclarer surprise par la motivation de l'arrêt cantonal et l'autorité précédente n'avait-elle aucune obligation, sous l'angle du droit d'être entendu, de l'interpeller à cet égard. Les griefs y relatifs sont donc mal fondés.</w:t>
      </w:r>
    </w:p>
    <w:p>
      <w:r>
        <w:rPr>
          <w:b/>
        </w:rPr>
        <w:t>E. 4.3.1</w:t>
      </w:r>
    </w:p>
    <w:p>
      <w:r>
        <w:t>La recourante prétend finalement que la cour cantonale aurait commis un déni de justice ( art. 29 al. 1 Cst. ) en refusant d'entrer en matière sur son recours. Elle se prévaut d'une violation de l' art. 382 al. 1 CPP .</w:t>
      </w:r>
    </w:p>
    <w:p>
      <w:r>
        <w:rPr>
          <w:b/>
        </w:rPr>
        <w:t>E. 4.3.2</w:t>
      </w:r>
    </w:p>
    <w:p>
      <w:r>
        <w:t>On rappellera qu'en vertu de cette disposition, la qualité pour recourir suppose un intérêt juridiquement protégé à l'annulation ou à la modification de la décision attaquée. Cet intérêt doit être pratique et actuel. De cette manière, les tribunaux sont assurés de trancher uniquement des questions concrètes et non de prendre des décisions à caractère théorique ( ATF 136 I 274 consid. 1.3 p. 276). A en particulier la qualité pour recourir contre une ordonnance de non-entrée en matière le lésé qui, lorsqu'il s'est constitué demandeur au pénal et indépendamment d'éventuelles conclusions civiles, est atteint directement dans ses droits par l'infraction ( art. 115 al. 1 CPP ; ATF 139 IV 78 consid. 3 p. 80). En règle générale, seul peut se prévaloir d'une atteinte directe le titulaire du bien juridique protégé par la disposition pénale qui a été enfreinte ( ATF 141 IV 1 consid. 3.1 p. 5 s.). L' art. 307 CP (faux rapport et faux témoignage en justice) protège en première ligne l'intérêt collectif, à savoir l'administration de la justice, dont le but est la recherche de la vérité matérielle ( ATF 123 IV 184 consid. 1c p. 188). Les intérêts privés ne sont défendus que de manière secondaire (arrêt 6B_243/2015 du 12 juin 2015 consid. 2.1). Les particuliers ne seront donc considérés comme des lésés que si leurs intérêts privés ont été effectivement touchés par le faux rapport, respectivement le faux témoignage, ce qu'ils doivent exposer (cf. ATF 123 IV 184 consid. 1c p. 188; arrêt 6B_1004/2014 du 30 juin 2015 consid. 1.2 et les références citées). Une partie qui n'est pas concrètement lésée par la décision ne possède donc pas la qualité pour recourir et son recours est irrecevable (voir arrêts 1B_72/2014 du 15 avril 2014 consid. 2; 1B_ 669/2012 du 12 mars 2013 consid. 2.3.1).</w:t>
      </w:r>
    </w:p>
    <w:p>
      <w:r>
        <w:rPr>
          <w:b/>
        </w:rPr>
        <w:t>E. 4.3.3</w:t>
      </w:r>
    </w:p>
    <w:p>
      <w:r>
        <w:t>En l'espèce, la cour cantonale a constaté que si, dans un premier temps, le tribunal de première instance avait rétabli le droit de visite du père suivant en cela les conclusions de l'expertise et les déclarations faites en justice de la doctoresse E.________ - ce qui avait été confirmé sur recours par la Cour de Justice -, celui-ci avait toutefois révisé sa position sur le caractère concluant de cette expertise en raison justement de la plainte pénale déposée par la recourante et des pièces produites à son appui. Saisi par celle-ci d'une requête en modification des mesures provisionnelles le 5 juin 2014, il a décidé de limiter à nouveau le droit du visite du père, mesure qui a été confirmée par la Cour de Justice, et d'ordonner une nouvelle expertise en vue de déterminer les modalités du droit de visite du père (ordonnance du 15 juillet 2014). En considération du fait que les actes reprochés à l'experte n'avaient eu qu'un effet temporaire sur les décisions rendues par les tribunaux civils, la cour cantonale a estimé que la recourante ne disposait plus, à la date du dépôt de son recours (le 7 novembre 2014), d'un intérêt actuel et pratique à contester la décision de non-entrée en matière du ministère public du 23 octobre 2014.</w:t>
      </w:r>
    </w:p>
    <w:p>
      <w:r>
        <w:rPr>
          <w:b/>
        </w:rPr>
        <w:t>E. 4.3.4</w:t>
      </w:r>
    </w:p>
    <w:p>
      <w:r>
        <w:t>Ces considérations ne prêtent pas flanc à la critique. La recourante reconnaît elle-même qu'elle a obtenu la modification des décisions civiles qui avaient été influencées par les conclusions de l'experte indépendamment du classement de sa plainte pénale. Les circonstances d'espèce ne sont donc en rien comparables à l'affaire traitée dans l'arrêt 6B_243/2015 du 12 juin 2015 cité par la recourante, où le Tribunal fédéral avait reconnu la qualité pour recourir à un prévenu d'assassinats contre le refus d'entrer en matière sur sa plainte pour dénonciation calomnieuse et faux témoignage. Dans ce cas, la Cour de céans avait jugé qu'il n'était pas a priori exclu, en particulier dans le cadre d'une procédure pénale, qu'un faux témoignage puisse, même déjà au stade de la procédure préliminaire et nonobstant l'appel interjeté contre la condamnation prononcée en première instance, atteindre un droit personnel du prévenu concerné (tels sa liberté, son honneur ou son patrimoine). Pour ce qui la concerne, la recourante n'explique toutefois pas en quoi consiste l'atteinte à ses droits personnels qui subsisterait encore du fait des prétendues infractions au moment où elle a saisi la cour cantonale, vu que l'expertise contestée n'a plus aucune valeur probante. Certes, elle allègue qu'elle a engagé des frais pour étayer sa plainte pénale. Il ne s'agit toutefois pas d'un préjudice résultant directement des actes dénoncés.</w:t>
      </w:r>
    </w:p>
    <w:p>
      <w:r>
        <w:rPr>
          <w:b/>
        </w:rPr>
        <w:t>E. 4.3.5</w:t>
      </w:r>
    </w:p>
    <w:p>
      <w:r>
        <w:t>Il en résulte que la cour cantonale pouvait, sans violer le droit fédéral, dénier à la recourante la qualité pour recourir concernant l'infraction pour faux rapport et faux témoignage en justice.</w:t>
      </w:r>
    </w:p>
    <w:p>
      <w:r>
        <w:rPr>
          <w:b/>
        </w:rPr>
        <w:t>E. 5</w:t>
      </w:r>
    </w:p>
    <w:p>
      <w:r>
        <w:t>Compte tenu de ce qui précède, le recours doit être rejeté dans la mesure de sa recevabilité. La recourante, qui succombe, supporte les frais judiciaires ( art. 66 al. 1 LTF ). Il n'est pas alloué de dépens à l'intimée qui n'a pas été invitée à procéder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