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6B_793/2017 vom 18. April 2018</w:t>
      </w:r>
    </w:p>
    <w:p>
      <w:r>
        <w:t>Bundesgericht, 2018-04-18, FR</w:t>
      </w:r>
    </w:p>
    <w:p>
      <w:r>
        <w:rPr>
          <w:b/>
        </w:rPr>
        <w:t xml:space="preserve">Quelle: </w:t>
      </w:r>
      <w:r>
        <w:t>https://mcp.opencaselaw.ch/entscheid/bger_6B_793_2017</w:t>
      </w:r>
    </w:p>
    <w:p>
      <w:r>
        <w:t>FR: TF 6B_793/2017 du 18 avril 2018</w:t>
      </w:r>
    </w:p>
    <w:p>
      <w:r>
        <w:t>IT: TF 6B_793/2017 del 18 aprile 2018</w:t>
      </w:r>
    </w:p>
    <w:p>
      <w:pPr>
        <w:pStyle w:val="Heading2"/>
      </w:pPr>
      <w:r>
        <w:t>Erwägungen</w:t>
      </w:r>
    </w:p>
    <w:p>
      <w:r>
        <w:rPr>
          <w:b/>
        </w:rPr>
        <w:t>E. 1</w:t>
      </w:r>
    </w:p>
    <w:p>
      <w:r>
        <w:t>Le recourant se plaint d'arbitraire dans l'établissement des faits à l'origine de sa condamnation pour actes d'ordre sexuel avec un enfant, à savoir ceux qui se sont déroulés en septembre 2010, ainsi que d'une violation de sa présomption d'innocence.</w:t>
      </w:r>
    </w:p>
    <w:p>
      <w:r>
        <w:rPr>
          <w:b/>
        </w:rPr>
        <w:t>E. 1.1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La décision doit être arbitraire non seulement dans sa motivation mais également dans son résultat ( ATF 142 II 369 consid. 4.3 p. 380).</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 présomption d'innocence est invoquée en relation avec l'appréciation des preuves et la constatation des faits, elle n'a pas de portée plus large que l'interdiction de l'arbitraire ( ATF 138 V 74 consid. 7 p. 82).</w:t>
      </w:r>
    </w:p>
    <w:p>
      <w:r>
        <w:t>Le Tribunal fédéral n'entre en matière sur les moyens fondés sur la violation de droits fondamentaux que s'ils ont été invoqués et motivés de manière précise ( art. 106 al. 2 LTF ). Les critiques de nature appellatoire sont irrecevables ( ATF 142 III 364 consid. 2.4 p. 368 et les références citées).</w:t>
      </w:r>
    </w:p>
    <w:p>
      <w:r>
        <w:rPr>
          <w:b/>
        </w:rPr>
        <w:t>E. 1.2</w:t>
      </w:r>
    </w:p>
    <w:p>
      <w:r>
        <w:t>La cour cantonale a fondé sa conviction sur un ensemble d'éléments. Il s'agit en premier lieu des déclarations de l'épouse du recourant selon lesquelles ce dernier lui avait dit après les faits litigieux qu'il avait pris l'enfant sur ses genoux, l'avait partiellement dénudée et lui avait touché le sexe.</w:t>
      </w:r>
    </w:p>
    <w:p>
      <w:r>
        <w:t>La cour cantonale a d'autre part relevé que le recourant avait dans un premier temps admis avoir eu, sous l'influence de l'alcool, un comportement déplacé très proche de celui dénoncé par la victime, savoir qu'il l'avait prise sur ses genoux et lui avait touché le ventre à même la peau. Elle a en outre noté qu'il avait eu à plusieurs reprises des comportements problématiques alors qu'il se trouvait sous l'emprise de l'alcool et a conclu que ses dénégations n'étaient pas crédibles. Elle a considéré qu'en revanche les accusations de la victime, claires et précises, étaient crédibles, ce qui a été confirmé par les thérapeutes qui se sont occupées d'elle, soulignant par ailleurs que les troubles constatés par ces dernières accréditent sa version des faits.</w:t>
      </w:r>
    </w:p>
    <w:p>
      <w:r>
        <w:rPr>
          <w:b/>
        </w:rPr>
        <w:t>E. 1.3</w:t>
      </w:r>
    </w:p>
    <w:p>
      <w:r>
        <w:t>Citant différents extraits des déclarations de son épouse, le recourant allègue que le discours de celle-ci n'était pas clair et ne permet pas d'être convaincu qu'il lui aurait fait des aveux. Il soutient par ailleurs que l'événement important évoqué par l'une des thérapeutes n'est pas forcément l'attouchement qu'il aurait prétendument commis en septembre 2010.</w:t>
      </w:r>
    </w:p>
    <w:p>
      <w:r>
        <w:t>Il ressort clairement des passages cités par le recourant dans son mémoire que son épouse a affirmé à plusieurs reprises qu'il lui avait dit avoir touché le sexe de l'enfant. Dès lors, le fait qu'elle ait déclaré ne rien avoir vu et même ne pas penser que son mari ait pu faire ça ne rend pas arbitraire l'appréciation faite par la cour cantonale de ses déclarations. D'une part, cette dernière n'a pas admis que l'épouse du recourant aurait assisté aux actes litigieux. Par ailleurs, on conçoit mal pourquoi le recourant aurait avoué à son épouse des actes de la gravité de ceux qui lui sont reprochés s'il ne les avait pas commis. On peut en revanche mieux imaginer que son épouse, très déstabilisée par les faits qui lui avaient été révélés, ait eu de la peine à se convaincre de leur réalité et ait préféré se raccrocher à l'idée que son mari n'était pas capable d'agir ainsi. L'argumentation du recourant relative aux déclarations de son épouse n'est donc pas de nature à remettre en question l'appréciation faite par la cour cantonale de cet élément de preuve.</w:t>
      </w:r>
    </w:p>
    <w:p>
      <w:r>
        <w:rPr>
          <w:b/>
        </w:rPr>
        <w:t>E. 1.4</w:t>
      </w:r>
    </w:p>
    <w:p>
      <w:r>
        <w:t>Le recourant reproche à la cour cantonale de ne s'être basée que sur des suppositions pour retenir que l'événement important évoqué par l'une des thérapeutes ne paraît pouvoir être que l'attouchement qui lui est reproché. Il ressort avant tout des déclarations de la thérapeute que l'enfant est totalement crédible dans ses propos relatifs aux faits qui se sont déroulés en septembre 2010 et que cet événement traumatisant explique les constatations faites par la thérapeute, laquelle a par ailleurs précisé n'avoir pas détecté d'autres traumatismes que celui vécu par la fillette lorsqu'elle a subi les attouchements de son voisin. Sur ce point non plus, le recourant ne montre pas en quoi l'appréciation de la cour cantonale serait insoutenable.</w:t>
      </w:r>
    </w:p>
    <w:p>
      <w:r>
        <w:rPr>
          <w:b/>
        </w:rPr>
        <w:t>E. 1.5</w:t>
      </w:r>
    </w:p>
    <w:p>
      <w:r>
        <w:t>Le recourant soutient que la crédibilité accordée par la cour cantonale aux déclarations de la victime ne respecte pas la présomption d'innocence.</w:t>
      </w:r>
    </w:p>
    <w:p>
      <w:r>
        <w:t>La cour cantonale a noté que ces déclarations avaient été claires et précises et que les thérapeutes qui avaient suivi l'enfant les avaient qualifiées de crédibles. C'est donc de manière parfaitement soutenable que la cour cantonale en a tenu compte et l'argumentation du recourant, au demeurant de nature largement appellatoire, ne suffit pas à remettre en question l'appréciation de cette dernière.</w:t>
      </w:r>
    </w:p>
    <w:p>
      <w:r>
        <w:rPr>
          <w:b/>
        </w:rPr>
        <w:t>E. 1.6</w:t>
      </w:r>
    </w:p>
    <w:p>
      <w:r>
        <w:t>Le recourant fait grief à la cour cantonale d'avoir considéré que s'il avait seulement pris l'enfant sur les genoux et n'avait eu envers elle qu'un geste de tendresse, on s'expliquerait mal les excuses qu'il a présentées et surtout la conclusion à laquelle il est parvenu qu'il devait à l'avenir s'abstenir de voir la fillette sans la présence d'autres personnes.</w:t>
      </w:r>
    </w:p>
    <w:p>
      <w:r>
        <w:t>L'argumentation du recourant consiste à opposer, en se fondant sur ses propres déclarations et celles de son épouse, sa propre explication de son comportement à l'appréciation de la cour cantonale sans toutefois montrer en quoi celle-ci serait insoutenable.</w:t>
      </w:r>
    </w:p>
    <w:p>
      <w:r>
        <w:t>S'agissant, enfin, de l'attitude des parents, qui n'ont pas porté plainte et ont continué à laisser leur fille se rendre chez lui, le raisonnement de la cour cantonale résiste au grief d'arbitraire. Il n'est pas insoutenable de considérer, comme l'a fait cette dernière, que les parents, susceptibles d'avoir un doute sur les faits précis qui s'étaient déroulés, aient préféré renoncer à déposer immédiatement une plainte pénale dans le but de préserver les rapports de voisinage, d'autant plus que la fillette se rendait fréquemment chez le recourant pour jouer avec ses enfants et surtout que celui-ci s'était engagé à ne plus se trouver seul avec la victime.</w:t>
      </w:r>
    </w:p>
    <w:p>
      <w:r>
        <w:t>L'ensemble des éléments invoqués par le recourant ne parviennent pas à faire apparaître comme arbitraire l'appréciation des preuves et l'établissement des faits de la cour cantonale. Mal fondé, le grief doit être rejeté dans la mesure où il est recevable.</w:t>
      </w:r>
    </w:p>
    <w:p>
      <w:r>
        <w:rPr>
          <w:b/>
        </w:rPr>
        <w:t>E. 2</w:t>
      </w:r>
    </w:p>
    <w:p>
      <w:r>
        <w:t>Le recourant fait valoir que le montant du jour-amende qui lui a été infligé est excessif et a été fixé en violation de l' art. 34 CP ainsi que de son droit d'être entendu.</w:t>
      </w:r>
    </w:p>
    <w:p>
      <w:r>
        <w:rPr>
          <w:b/>
        </w:rPr>
        <w:t>E. 2.1</w:t>
      </w:r>
    </w:p>
    <w:p>
      <w:r>
        <w:t>Selon l' art. 34 al. 2 3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1er janvier 2018, qui n'est pas plus favorable à l'intéressé (cf. art. 2 al. 2 CP ).</w:t>
      </w:r>
    </w:p>
    <w:p>
      <w:r>
        <w:t>Les critères pertinents pour déterminer le montant du jour-amende ont été rappelés dans l'arrêt publié aux ATF 142 IV 315 , auquel on peut se référer. Le montant du jour-amende doit être fixé en partant du revenu que l'auteur réalise en moyenne quotidiennement, quelle qu'en soit la source, car c'est la capacité économique réelle de fournir une prestation qui est déterminante ( ATF 142 IV 315 consid. 5.3.2 p. 320). La situation à prendre en compte est celle existant au moment où statue le juge du fait ( ATF 142 IV 315 consid. 5.3.2 p. 321).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Ainsi, elle constitue un élément pertinent dans la mesure où l'auteur en tire sa subsistance quotidienne ( ATF 142 IV 315 consid. 5.3.3 p. 321 s. et les arrêts cités). Enfin, il n'y a pas lieu de prendre en considération les obligations qui sont la conséquence directe ou indirecte des faits, tels que dommages-intérêts, tort moral, frais judiciaires, etc. ( ATF 142 IV 315 consid. 5.3.4 p. 322).</w:t>
      </w:r>
    </w:p>
    <w:p>
      <w:r>
        <w:t>Le recourant reproche à la cour cantonale d'avoir tenu compte de sa fortune pour déterminer le montant du jour-amende. Contrairement à ce que soutient le recourant, la cour cantonale n'a pas pris sa fortune en compte pour fixer ce montant. Elle a uniquement relevé que sa capacité financière était suffisante pour qu'il puisse acquitter les frais et indemnités sur sa fortune, répondant ainsi à l'argument du recourant selon lequel il serait incohérent de prétériter le lésé dans ses chances d'obtenir le paiement des sommes qui lui ont été allouées au titre des conséquences civiles de l'infraction en donnant la priorité à l'encaissement de la peine pécuniaire. Il en va de même du fait que la peine qui lui a été infligée est assortie du sursis, évoqué par la cour cantonale dans le même contexte, à savoir les perspectives de recouvrement des lésés.</w:t>
      </w:r>
    </w:p>
    <w:p>
      <w:r>
        <w:t>Le recourant soutient par ailleurs que le montant du jour-amende est excessif car il ne tient pas compte des frais et indemnités mis à sa charge. Contraire à la jurisprudence rappelée ci-dessus, selon laquelle de tels éléments ne sont pas à prendre en considération, cet argument est mal fondé.</w:t>
      </w:r>
    </w:p>
    <w:p>
      <w:r>
        <w:rPr>
          <w:b/>
        </w:rPr>
        <w:t>E. 2.2</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Le grief fait par le recourant à la cour cantonale de ne pas lui avoir donné l'occasion de fournir des documents permettant de constater une diminution de sa fortune est également mal fondé puisque, comme on l'a relevé, cet élément n'a pas été pris en considération pour déterminer le montant du jour-amende.</w:t>
      </w:r>
    </w:p>
    <w:p>
      <w:r>
        <w:rPr>
          <w:b/>
        </w:rPr>
        <w:t>E. 3</w:t>
      </w:r>
    </w:p>
    <w:p>
      <w:r>
        <w:t>Le recourant soutient que la cour cantonale aurait dû refuser toute réparation du dommage prétendument subi par la victime. Il fait valoir que cette dernière n'a pas prouvé que les consultations effectuées étaient en relation de causalité naturelle et adéquate avec les faits qui lui sont imputés.</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le Tribunal fédéral revoit librement ( ATF 138 IV 57 consid. 4.1.3 p. 61 et l'arrêt cité).</w:t>
      </w:r>
    </w:p>
    <w:p>
      <w:r>
        <w:t>En l'espèce, il n'apparaît pas, et le recourant lui-même ne le prétend pas, que la cour cantonale aurait méconnu la notion de causalité naturelle. Sa constatation selon laquelle les troubles qui ont nécessité l'intervention de thérapeutes ont été au moins favorisés par les actes commis par le recourant lie le Tribunal fédéral. Par ailleurs, c'est à juste titre que la cour cantonale a admis qu'il est dans la nature des choses et conforme à l'expérience générale de la vie que les enfants victimes d'abus sexuels subissent un choc tel qu'il entraîne des conséquences psychiques. Même si la séparation de ses parents a beaucoup affecté la victime, il n'apparaît pas que cette séparation s'imposerait comme la cause la plus probable et la plus immédiate des troubles dont elle a souffert, au point de reléguer à l'arrière-plan les actes commis par le recourant. Il y a au contraire lieu de penser que si la victime n'avait pas déjà été fragilisée sur le plan psychique par ces événements elle aurait sans doute été mieux à même de faire face au traumatisme causé par la situation familiale.</w:t>
      </w:r>
    </w:p>
    <w:p>
      <w:r>
        <w:t>Le recourant reproche enfin à la cour cantonale de s'être contentée des factures produites pour établir le montant du dommage. Il soutient que des attestations de paiement étaient nécessaires.</w:t>
      </w:r>
    </w:p>
    <w:p>
      <w:r>
        <w:t>C'est avec raison que la cour cantonale a admis que le dommage était suffisamment documenté par les factures produites, même en l'absence de preuve du paiement. Selon la jurisprudence constante, le dommage se définit comme la diminution involontaire de la fortune nette;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 ATF 142 IV 237 consid. 1.3.1 p. 239 s. et les références citées). Le recourant ne prétend pas que les sommes afférentes aux traitements ne seraient pas dues par la victime, de sorte que même dans l'hypothèse où elles n'auraient pas été réglées, elles n'en constitueraient pas moins un dommage, sous la forme d'une augmentation du passif.</w:t>
      </w:r>
    </w:p>
    <w:p>
      <w:r>
        <w:rPr>
          <w:b/>
        </w:rPr>
        <w:t>E. 4</w:t>
      </w:r>
    </w:p>
    <w:p>
      <w:r>
        <w:t>Mal fondé, le recours doit être rejeté dans la mesure où il est recevable et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