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6B_792/2019 vom 19. Februar 2020</w:t>
      </w:r>
    </w:p>
    <w:p>
      <w:r>
        <w:t>Bundesgericht, 2020-02-19, DE</w:t>
      </w:r>
    </w:p>
    <w:p>
      <w:r>
        <w:rPr>
          <w:b/>
        </w:rPr>
        <w:t xml:space="preserve">Quelle: </w:t>
      </w:r>
      <w:r>
        <w:t>https://mcp.opencaselaw.ch/entscheid/bger_6B_792_2019</w:t>
      </w:r>
    </w:p>
    <w:p>
      <w:r>
        <w:t>FR: TF 6B_792/2019 du 19 février 2020</w:t>
      </w:r>
    </w:p>
    <w:p>
      <w:r>
        <w:t>IT: TF 6B_792/2019 del 19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Beschwerdeführerin zog ihre Beschwerde mit Schreiben vom 17. Februar 2020 zurück, weshalb die Beschwerde im Verfahren nach Art. 32 Abs. 2 BGG abzuschreiben ist.</w:t>
      </w:r>
    </w:p>
    <w:p>
      <w:r>
        <w:rPr>
          <w:b/>
        </w:rPr>
        <w:t>E. 2</w:t>
      </w:r>
    </w:p>
    <w:p>
      <w:r>
        <w:t>Der Rechtsvertreter des Beschwerdegegners 1 wurde am 10. Februar 2020 eingeladen, bis am 21. Februar 2020 eine allfällige Vernehmlassung zur Beschwerde der Staatsanwaltschaft einzureichen. In seiner Eingabe vom 18. Februar 2020 ersucht der Beschwerdegegner 1 daher um Zusprechung einer angemessenen Parteientschädigung.</w:t>
      </w:r>
    </w:p>
    <w:p>
      <w:r>
        <w:t>Dem Gesuch ist stattzugeben, da der Rückzug der Beschwerde während der Frist zur Stellungnahme erfolgte und der Rechtsvertreter des Beschwerdegegners 1 glaubhaft darlegt, dass ihm in diesem Zusammenhang bereits ein gewisser Aufwand entstanden ist.</w:t>
      </w:r>
    </w:p>
    <w:p>
      <w:r>
        <w:t>Wer eine Beschwerde zurückzieht, hat - vorbehältlich besonderer Umstände, die hier nicht gegeben sind - als unterliegende Partei zu gelten. Der Kanton Schwyz hat dem Beschwerdegegner 1 daher die durch den Rechtsstreit verursachten notwendigen Kosten zu ersetzen ( Art. 68 Abs. 1 und 2 BGG ).</w:t>
      </w:r>
    </w:p>
    <w:p>
      <w:r>
        <w:t>Da der Beschwerdegegner 1 im Verfahren vor Bundesgericht kein Gesuch um unentgeltliche Rechtspflege stellt, ist die Entschädigung ihm und nicht seinem Rechtsvertreter zuzusprechen.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