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6B_78/2020 vom 1. April 2020</w:t>
      </w:r>
    </w:p>
    <w:p>
      <w:r>
        <w:t>Bundesgericht, 2020-04-01, FR</w:t>
      </w:r>
    </w:p>
    <w:p>
      <w:r>
        <w:rPr>
          <w:b/>
        </w:rPr>
        <w:t xml:space="preserve">Quelle: </w:t>
      </w:r>
      <w:r>
        <w:t>https://mcp.opencaselaw.ch/entscheid/bger_6B_78_2020</w:t>
      </w:r>
    </w:p>
    <w:p>
      <w:r>
        <w:t>FR: TF 6B_78/2020 du 1 avril 2020</w:t>
      </w:r>
    </w:p>
    <w:p>
      <w:r>
        <w:t>IT: TF 6B_78/2020 del 1 aprile 2020</w:t>
      </w:r>
    </w:p>
    <w:p>
      <w:pPr>
        <w:pStyle w:val="Heading2"/>
      </w:pPr>
      <w:r>
        <w:t>Erwägungen</w:t>
      </w:r>
    </w:p>
    <w:p>
      <w:r>
        <w:rPr>
          <w:b/>
        </w:rPr>
        <w:t>E. 1</w:t>
      </w:r>
    </w:p>
    <w:p>
      <w:r>
        <w:t>Le recourant reproche à l'autorité précédente d'avoir violé son droit d'être entendu en refusant de mettre en oeuvre une expertise portant sur le système de mesure utilisé pour calculer sa vitesse le jour des faits.</w:t>
      </w:r>
    </w:p>
    <w:p>
      <w:r>
        <w:rPr>
          <w:b/>
        </w:rPr>
        <w:t>E. 1.1</w:t>
      </w:r>
    </w:p>
    <w:p>
      <w:r>
        <w:t>Le droit d'être entendu, tel qu'il est garanti par l' art. 29 al. 2 Cst. , comprend notamment pour le justiciable le droit de s'exprimer sur les éléments pertinents avant qu'une décision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145 I 73 consid. 7.2.2.1 p. 103).</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6B_1362/2019 du 11 mars 2020 consid. 1.1; 6B_1376/2019 du 26 février 2020 consid. 3.1). Le magistrat peut ainsi refuser des preuves nouvelles, lorsqu'une administration anticipée de ces preuves démontre qu'elles ne seront pas de nature à modifier le résultat de celles déjà administrées ( ATF 136 I 229 consid. 5.3 p. 236 s.). Ce refus d'instruire ne viole le droit d'être entendu des parties et l' art. 389 al. 3 CPP que si l'appréciation anticipée effectuée est entachée d'arbitraire (cf. ATF 144 II 427 consid. 3.1.3 p. 435; 141 I 60 consid. 3.3 p. 64).</w:t>
      </w:r>
    </w:p>
    <w:p>
      <w:r>
        <w:rPr>
          <w:b/>
        </w:rPr>
        <w:t>E. 1.2</w:t>
      </w:r>
    </w:p>
    <w:p>
      <w:r>
        <w:t>Selon la cour cantonale, le recourant avait soutenu qu'une expertise serait nécessaire pour lever le doute existant à propos de la vitesse calculée par le système de mesure concerné, cela "de l'avis même de l'Institut suisse de métrologie". En se fondant sur les photographies prises au début et à la fin du contrôle routier - lesquelles divergeaient quelque peu -, le recourant avait tout d'abord soutenu que la mesure n'était pas valable car l'angle des caméras avait varié. Or, les échanges de correspondances entre l'intéressé et le METAS avaient révélé que le déplacement en question était sans incidence sur le résultat, que seul le déplacement du capteur pourrait en avoir une et qu'il était impossible, sans expertise, de dire si ledit capteur avait bougé. Un courrier du METAS du 23 mai 2019 indiquait en outre que le déplacement pouvait avoir lieu dans trois directions, dont deux étaient sans influence sur le résultat d'une mesure de vitesse. Le recourant n'avait apporté aucun indice permettant de penser que le capteur aurait bougé pendant le contrôle, à plus forte raison dans la seule direction pouvant avoir un impact sur le résultat du contrôle. C'était à tort que le recourant avait soutenu que l'altération de l'alignement aperçu sur deux photographies pouvait impliquer une modification du capteur. En effet, dans son courrier du 4 juillet 2019, le METAS avait indiqué que la vitesse était mesurée exclusivement à partir du capteur, que la caméra n'avait aucune influence dans la mesure et que "vu que le capteur [était] ici notamment séparé de l'appareil photo, il n'[était] pas possible de dire s'il y [avait] eu un déplacement du capteur ou pas". Il n'y avait donc pas lieu de vérifier, par le biais d'une expertise, si le capteur avait ou non bougé.</w:t>
      </w:r>
    </w:p>
    <w:p>
      <w:r>
        <w:t>La cour cantonale a encore exposé que l'argumentation du recourant portant sur une éventuelle modification de l'angle d'inclinaison ou d'alignement du système de mesure était sans portée puisque, même à suivre son raisonnement, la marge d'erreur pouvant en résulter restait inférieure à la marge de sécurité de 4 km/h qui avait été déduite de la vitesse constatée pour parvenir à la vitesse retenue de 111 km/h.</w:t>
      </w:r>
    </w:p>
    <w:p>
      <w:r>
        <w:rPr>
          <w:b/>
        </w:rPr>
        <w:t>E. 1.3</w:t>
      </w:r>
    </w:p>
    <w:p>
      <w:r>
        <w:t>L'appréciation anticipée de la preuve requise - à laquelle s'est livrée la cour cantonale - n'apparaît aucunement entachée d'arbitraire. En effet, le recourant fonde intégralement son argumentation sur sa propre interprétation du courrier du METAS du 4 juillet 2019, laquelle ne peut être suivie. L'institut en question y a uniquement indiqué que la vitesse des véhicules était exclusivement mesurée par le capteur du système de mesure, la caméra n'ayant aucune influence en la matière. Il a ajouté que, sur la base des photographies existantes, il n'était pas possible de dire si le capteur s'était ou non déplacé. Ainsi, contrairement à ce qu'affirme le recourant, le METAS n'a pas admis qu'un doute subsistait concernant la mesure effectuée. L'existence de ce prétendu doute ne repose en définitive que sur la prémisse - non confirmée par le METAS - selon laquelle un déplacement de la caméra, non contesté, aurait pu impliquer un déplacement du capteur. En l'absence de tout élément permettant de mettre en doute la mesure effectuée par ledit capteur, la cour cantonale pouvait, sans arbitraire, refuser de mettre en oeuvre l'expertise requise.</w:t>
      </w:r>
    </w:p>
    <w:p>
      <w:r>
        <w:rPr>
          <w:b/>
        </w:rPr>
        <w:t>E. 2</w:t>
      </w:r>
    </w:p>
    <w:p>
      <w:r>
        <w:t>Le recourant reproche à la cour cantonale d'avoir apprécié les preuves et établi les faits de manière arbitraire. Il se plaint en outre, à cet égard, d'une violation du principe "in dubio pro reo".</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2.2</w:t>
      </w:r>
    </w:p>
    <w:p>
      <w:r>
        <w:t>La cour cantonale a exposé que le système de mesure, contrôlé annuellement par le METAS - la dernière fois avant les faits litigieux le 5 septembre 2017 -, avait été étalonné, et que le policier concerné avait suivi une formation complète relative à l'utilisation de l'appareil. Les explications fournies par le policier montraient que ce dernier savait alors que la tête du laser devait être bien positionnée par rapport à la route et placée à la bonne hauteur. Les deux appareils photographiques étaient indépendants du laser, de sorte que rien ne permettait de retenir que celui-ci aurait bougé. Aucun indice ne laissait donc penser que la mesure n'aurait pas été correcte, de sorte qu'il pouvait être retenu que le recourant avait circulé à 111 km/h.</w:t>
      </w:r>
    </w:p>
    <w:p>
      <w:r>
        <w:rPr>
          <w:b/>
        </w:rPr>
        <w:t>E. 2.3</w:t>
      </w:r>
    </w:p>
    <w:p>
      <w:r>
        <w:t>Le recourant reproche à la cour cantonale de ne pas avoir constaté, dans le jugement attaqué, qu'une expertise portant sur le système de mesure utilisé le jour des faits avait été requise dès le début de l'enquête. On ne voit pas en quoi la correction d'un éventuel vice sur ce point serait susceptible d'influer sur le sort de la cause (cf. art. 97 al. 1 LTF ), l'autorité précédente ayant rejeté cette mesure probatoire au terme d'une appréciation anticipée de la preuve.</w:t>
      </w:r>
    </w:p>
    <w:p>
      <w:r>
        <w:rPr>
          <w:b/>
        </w:rPr>
        <w:t>E. 2.4</w:t>
      </w:r>
    </w:p>
    <w:p>
      <w:r>
        <w:t>Le recourant discute, de manière purement appellatoire et, partant, irrecevable, les qualifications du policier ayant installé le système de mesure concerné. On voit mal ce que le recourant entend déduire de ses allégations, puisqu'il ne ressort pas du jugement attaqué que l'appareil en question aurait pu être mal utilisé. Pour le reste, c'est bien le METAS - et non le policier - qui a confirmé qu'un déplacement de la caméra n'impliquait pas un déplacement du capteur de mesure, de sorte qu'il n'apparaît aucunement que l'autorité précédente aurait arbitrairement attribué à cet agent des compétences ou capacités qu'il n'avait pas. Au demeurant, dès lors qu'il ressort du jugement attaqué que le policier concerné a suivi la formation idoine pour l'utilisation du système de mesure, on ne voit pas ce que le recourant pourrait déduire de l'absence de manuel d'utilisation dans la langue de l'intéressé le jour des faits.</w:t>
      </w:r>
    </w:p>
    <w:p>
      <w:r>
        <w:rPr>
          <w:b/>
        </w:rPr>
        <w:t>E. 2.5</w:t>
      </w:r>
    </w:p>
    <w:p>
      <w:r>
        <w:t>En définitive, on ne distingue pas, dans l'argumentation appellatoire du recourant, un quelconque élément qui ferait apparaître comme insoutenable la version des événements retenue par la cour cantonale. Le grief doit ainsi être rejeté dans la mesure où il est recevable.</w:t>
      </w:r>
    </w:p>
    <w:p>
      <w:r>
        <w:rPr>
          <w:b/>
        </w:rPr>
        <w:t>E. 3</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