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6B_78/2017 vom 6. September 2017</w:t>
      </w:r>
    </w:p>
    <w:p>
      <w:r>
        <w:t>Bundesgericht, 2017-09-06, DE</w:t>
      </w:r>
    </w:p>
    <w:p>
      <w:r>
        <w:rPr>
          <w:b/>
        </w:rPr>
        <w:t xml:space="preserve">Quelle: </w:t>
      </w:r>
      <w:r>
        <w:t>https://mcp.opencaselaw.ch/entscheid/bger_6B_78_2017</w:t>
      </w:r>
    </w:p>
    <w:p>
      <w:r>
        <w:t>FR: TF 6B_78/2017 du 6 septembre 2017</w:t>
      </w:r>
    </w:p>
    <w:p>
      <w:r>
        <w:t>IT: TF 6B_78/2017 del 6 settembre 2017</w:t>
      </w:r>
    </w:p>
    <w:p>
      <w:pPr>
        <w:pStyle w:val="Heading2"/>
      </w:pPr>
      <w:r>
        <w:t>Erwägungen</w:t>
      </w:r>
    </w:p>
    <w:p>
      <w:r>
        <w:rPr>
          <w:b/>
        </w:rPr>
        <w:t>E. 1</w:t>
      </w:r>
    </w:p>
    <w:p>
      <w:r>
        <w:t>Umstritten ist einzig die Strafzumessung.</w:t>
      </w:r>
    </w:p>
    <w:p>
      <w:r>
        <w:rPr>
          <w:b/>
        </w:rPr>
        <w:t>E. 1.1</w:t>
      </w:r>
    </w:p>
    <w:p>
      <w:r>
        <w:t>Die Vorinstanz geht in Bezug auf das Ausmass des verschuldeten Erfolgs von einer schweren Tathandlung aus. Nach der bundesgerichtlichen Rechtsprechung stelle Oralverkehr eine beischlafähnliche Handlung dar, welche einen ähnlichen Unrechtsgehalt habe wie eine Vergewaltigung und daher grundsätzlich nicht milder zu bestrafen sei als eine solche. Die Strafzumessung habe sich danach an deren Strafrahmen zu orientieren, womit die Mindeststrafe bei einem Jahr anzusiedeln sei. Erschwerend komme hinzu, dass der Beschuldigte in den Mund der Geschädigten ejakuliert habe, sodass diese den Samen habe schlucken müssen. Entlastend sei, dass die beischlafsähnliche Handlung nur kurz gedauert habe. Bei der Geschädigten seien keine psychischen Folgen der Tat festgestellt worden. Der Beschuldigte habe keine List angewandt und keinen Hinterhalt geschaffen und die Tat auch nicht geplant. Vielmehr habe er seine Überlegenheit und die verletzliche Situation der Geschädigten erkannt und sie ausgenutzt. Er habe mit direktem Vorsatz gehandelt, und seine Entscheidungsfreiheit sei in keiner Weise eingeschränkt gewesen. Beweggrund der Tat sei einzig Triebbefriedigung gewesen; er habe die Geschädigte als eigentliches Sexualobjekt missbraucht. Das Tatverschulden sei mittelschwer, was zu einer Einsatzstrafe von 40 Monaten führe (angefochtener Entscheid S. 21 f.).</w:t>
      </w:r>
    </w:p>
    <w:p>
      <w:r>
        <w:t>Unter den Täterkomponenten wertete die Vorinstanz die "aussergewöhnliche Integrationsleistung" des Beschuldigten - er kam mit 12 Jahren in die Schweiz, besuchte die Primar- und die Sekundarschule, schloss eine Lehre als Sanitärinstallateur erfolgreich ab und fand danach eine Festanstellung - als strafmindernd. Die Vorstrafenlosigkeit wertete es als neutral, und eine besondere Strafempfindlichkeit stellte es nicht fest. Aus dem Nachtatverhalten liess sich nach der Auffassung der Vorinstanz auch nichts zu Gunsten des Beschuldigten ableiten, da er keine echte Reue oder Empathie für die Geschädigte erkennen lasse und sich im Gegenteil selber als Opfer sehe. Insgesamt wertete sie die Täterkomponente als leicht strafmindernd und gelangte zu einer Freiheitsstrafe von 38 Monaten (angefochtener Entscheid S. 22). Im Hinblick auf den gesetzlichen Grenzwert von 36 Monaten für die Gewährung des teilbedingten Vollzugs von Freiheitsstrafen ( Art. 43 Abs. 1 StGB ) senkte sie die auszufällende Strafe auf dieses Mass, da sie die subjektiven Voraussetzungen für die Gewährung des teilbedingten Vollzugs als erfüllt betrachtete und es dem Beschuldigten ermöglichen wollte, den Vollzug in Halbgefangenschaft zu erstehen ( Art. 77b StGB ), um seiner beruflichen Desintegration entgegenzuwirken (angefochtener Entscheid S. 23).</w:t>
      </w:r>
    </w:p>
    <w:p>
      <w:r>
        <w:rPr>
          <w:b/>
        </w:rPr>
        <w:t>E. 1.2</w:t>
      </w:r>
    </w:p>
    <w:p>
      <w:r>
        <w:t>Der Beschwerdeführer macht geltend, das Obergericht sei seiner Begründungspflicht nur ungenügend nachgekommen, weil es sich nicht mit der erstinstanzlichen Strafzumessung auseinandergesetzt habe; es sei daher für ihn nicht nachvollziehbar, wieso es die Strafe um mehr als das Doppelte erhöht habe. Zudem ergebe sich aus der obergerichtlichen Begründung nicht im Einzelnen, welche Elemente es als straferhöhend, strafmindernd oder neutral gewertet habe. So sei etwa unklar, wie es den von ihm mehrfach erwähnten Umstand beurteilt habe, die Geschädigte habe sich in einer verletzlichen Situation befunden. Auch der Hinweis auf die bundesgerichtliche Rechtsprechung, wonach der Unrechtsgehalt einer Vergewaltigung und einer Nötigung zum Oralverkehr in etwa gleich zu beurteilen sei, vermöge nicht schlüssig zu erklären, weshalb es das erstinstanzliche Strafmass derart massiv erhöht habe. Immerhin habe dieses über der für Vergewaltigung geltende Mindeststrafe von 12 Monaten gelegen. Weiter habe das Obergericht ausgeführt, der Beschwerdeführer habe die Beschuldigte als eigentliches Sexobjekt missbraucht. Dies erwecke den Anschein, dass es dies als straferhöhend gewertet habe. Der Missbrauch des Opfers als Sexualobjekt sei indessen dem Straftatbestand wesensimmanent, sodass darin eine unzulässige Doppelverwertung liege.</w:t>
      </w:r>
    </w:p>
    <w:p>
      <w:r>
        <w:t>Eine vom Bundesamt für Gesundheit in Auftrag gegebene, am 10. November 2016 publizierte Studie der "sotomo GmbH" habe zudem ergeben, dass vaginaler Sex von 95 % der Frauen als "Sex haben" bezeichnet würde, oraler Sex jedoch nur von 53 % der Frauen. Das zeige, dass die Frauen nach der Studie der oralen Befriedigung (des Mannes durch die Frau) bei Weitem nicht die gleiche sexuelle Intensität beimässen wie dem vaginalen Verkehr. Es dränge sich daher eine Korrektur der Rechtsprechung auf, welche die Nötigung zum Oralverkehr und die Vergewaltigung in Bezug auf die Strafzumessung gleichstelle.</w:t>
      </w:r>
    </w:p>
    <w:p>
      <w:r>
        <w:t>Die Geschädigte habe sich keineswegs in einer "äusserst verletzlichen Situation" befunden, die entsprechende Annahme des Obergerichts sei willkürlich. Auch lasse sich die Annahme eines direkten Vorsatzes entgegen der Auffassung des Obergerichts nicht auf den Sachverhalt stützen. Dieses habe dazu ausgeführt, der Beschwerdeführer habe gewusst, dass die Geschädigte den verlangten Oralverkehr ablehne; sie habe dies klar zum Ausdruck gebracht und zum Schutz die Hände vor den Mund gehalten. Er habe sich damit willentlich bzw. mit direktem Vorsatz über den Widerstand der Geschädigten hinweggesetzt. Dieser Schluss sei unzulässig. Das Obergericht habe selber festgestellt, dass es "keiner massiven Nötigungsmittel" bedurft habe, um den Willen der Geschädigten zu brechen. Effektiv habe sich diese nur sehr schwach gewehrt bzw. den zumutbaren Widerstand nicht geleistet, sodass dem Beschwerdeführer kein direkter Vorsatz, sondern nur Eventualvorsatz angelastet werden könne. Insgesamt erscheine bei Gesamtwürdigung der Umstände eine Freiheitsstrafe von 14 Monaten gerechtfertigt.</w:t>
      </w:r>
    </w:p>
    <w:p>
      <w:r>
        <w:rPr>
          <w:b/>
        </w:rPr>
        <w:t>E. 1.3</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ihres Ermessens falsch gewichtet hat ( BGE 136 IV 55 E. 5.6 mit Hinweis; vgl. auch Rückweisungsentscheid 6B_65/2014 vom 9. Oktober 2014 E. 2.3).</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rPr>
          <w:b/>
        </w:rPr>
        <w:t>E. 2</w:t>
      </w:r>
    </w:p>
    <w:p>
      <w:r>
        <w:t>Der Strafrahmen bei sexueller Nötigung im Sinne von Art. 189 Abs. 1 StGB reicht von Geldstrafe bis zu 10 Jahren Freiheitsstrafe.</w:t>
      </w:r>
    </w:p>
    <w:p>
      <w:r>
        <w:rPr>
          <w:b/>
        </w:rPr>
        <w:t>E. 2.1</w:t>
      </w:r>
    </w:p>
    <w:p>
      <w:r>
        <w:t>Zunächst ist festzustellen, dass es keinen Grund gibt, die in BGE 132 IV 120 einlässlich begründete bundesgerichtliche Praxis aufzugeben, wonach die Nötigung zum Oralverkehr einen ähnlichen Unrechtsgehalt aufweist wie eine Vergewaltigung. Aus dem Umstand, dass offenbar nach einer Studie des BAG sich der Begriff "Sex haben" für viele Frauen nur auf Vaginalverkehr, nicht aber auf Oralverkehr ("Blowjob") bezieht, lässt sich nicht ableiten, dass sie eine Nötigung zu letzterem weniger schlimm empfinden würden als eine Vergewaltigung. Dies wurden sie in der Studie auch gar nicht gefragt. Nach der Praxis des Bundesgerichts ist danach von einer Mindeststrafe von einem Jahr Freiheitsstrafe auszugehen.</w:t>
      </w:r>
    </w:p>
    <w:p>
      <w:r>
        <w:rPr>
          <w:b/>
        </w:rPr>
        <w:t>E. 2.2</w:t>
      </w:r>
    </w:p>
    <w:p>
      <w:r>
        <w:t>Das Berufungsgericht fällt ein neues Urteil, welches das erstinstanzliche Urteil ersetzt ( Art. 408 StPO ). Es beschränkt sich deshalb nicht auf eine Überprüfung des von der Vorinstanz ausgeübten Ermessens, sondern nimmt eine eigenständige Beurteilung vor. Das Obergericht hat sich nicht mit der Strafzumessung der ersten Instanz auseinandergesetzt und mithin nicht begründet, weshalb es das Strafmass mehr als verdoppelt hat. Das ist unter den Blickwinkel der verfassungsmässigen Begründungspflicht (gerade noch) zulässig, weil das Strafmass mit der Formulierung des Verschuldens in Einklang steht, wie es die neuere Rechtsprechung des Bundesgerichts verlangt (Urteile 6B_364/2014 vom 30. Juni 2014 E. 2.2; 6B_1048/2010 vom 6. Juni 2011 E. 3.2 und 6B_763/2010 vom 26. April 2011 E. 4.1). Bei einem anzunehmenden Strafrahmen zwischen einem und zehn Jahren Freiheitsstrafe erscheint eine Einsatzstrafe von vier Jahren bei einem mittelschweren Verschulden zwar als eher hoch, vor allem wenn man sie mit der Mindestfreiheitsstrafe für eine qualifizierte sexuelle Nötigung im Sinne von Art. 189 Abs. 3 StGB von drei Jahren vergleicht. Das Obergericht hat aber das ihm zustehende Ermessen bei der Festsetzung der Einsatzstrafe nicht überschritten.</w:t>
      </w:r>
    </w:p>
    <w:p>
      <w:r>
        <w:rPr>
          <w:b/>
        </w:rPr>
        <w:t>E. 2.3</w:t>
      </w:r>
    </w:p>
    <w:p>
      <w:r>
        <w:t>Das Obergericht hat den Umstand, dass sich die Geschädigte in einer verletzlichen Situation befand, als sie vom Beschwerdeführer genötigt wurde, offensichtlich straferhöhend gewertet. Und zwar zu Recht. Die 17-jährige unerfahrene Geschädigte befand sich, als sie vom vier Jahre älteren, körperlich überlegenen Beschwerdeführer bedrängt wurde, nach ihrem unbefriedigend verlaufenen ersten Geschlechtsverkehr - ihr Liebhaber hatte jedenfalls unmittelbar danach "wütend" das Zimmer verlassen - allein und nur teilweise bekleidet im Wohnzimmer des Beschwerdeführers. Die Einschätzung des Obergerichts, dass sie in dieser Situation (besonders) verletzlich war, ist zutreffend und nicht willkürlich, und es ist auch nicht zu beanstanden, dass es das Ausnützen dieser Situation durch den Beschwerdeführer straferhöhend wertete. Die Geschädigte hat diesem zudem unmissverständlich zu verstehen gegeben, dass sie seiner Aufforderung zum Oralverkehr nicht entsprechen wollte, sie hat ihm das gesagt und die Hände vor den Mund gehalten. Sie hat sich damit für den Beschwerdeführer unmissverständlich geweigert, seine sexuellen Wünsche zu befriedigen. Auch wenn sie sich in der Folge in ihr Schicksal schickte und gegen den körperlich überlegenen Beschwerdeführer keine erhebliche Gegenwehr mehr leistete, so hat sich dieser jedenfalls wissentlich und willentlich über ihren Willen hinweggesetzt, mithin mit direktem Vorsatz gehandelt, wie das Obergericht zu Recht feststellte.</w:t>
      </w:r>
    </w:p>
    <w:p>
      <w:r>
        <w:rPr>
          <w:b/>
        </w:rPr>
        <w:t>E. 2.4</w:t>
      </w:r>
    </w:p>
    <w:p>
      <w:r>
        <w:t>Zusammenfassend vermögen somit die Einwände des Beschwerdeführers die Strafzumessung nicht als bundesrechtswidrig nachzuweisen, die Beschwerde ist unbegründet.</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