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6B_789/2011 vom 26. März 2012</w:t>
      </w:r>
    </w:p>
    <w:p>
      <w:r>
        <w:t>Bundesgericht, 2012-03-26, DE</w:t>
      </w:r>
    </w:p>
    <w:p>
      <w:r>
        <w:rPr>
          <w:b/>
        </w:rPr>
        <w:t xml:space="preserve">Quelle: </w:t>
      </w:r>
      <w:r>
        <w:t>https://mcp.opencaselaw.ch/entscheid/bger_6B_789_2011</w:t>
      </w:r>
    </w:p>
    <w:p>
      <w:r>
        <w:t>FR: TF 6B_789/2011 du 26 mars 2012</w:t>
      </w:r>
    </w:p>
    <w:p>
      <w:r>
        <w:t>IT: TF 6B_789/2011 del 26 marzo 2012</w:t>
      </w:r>
    </w:p>
    <w:p>
      <w:pPr>
        <w:pStyle w:val="Heading2"/>
      </w:pPr>
      <w:r>
        <w:t>Erwägungen</w:t>
      </w:r>
    </w:p>
    <w:p>
      <w:r>
        <w:rPr>
          <w:b/>
        </w:rPr>
        <w:t>E. 1</w:t>
      </w:r>
    </w:p>
    <w:p>
      <w:r>
        <w:t>Der Beschwerdeführer beantragt die Aufhebung sowohl des kantonsgerichtlichen Urteils als auch des erstinstanzlichen Urteils des Kreisgerichts Rheintal.</w:t>
      </w:r>
    </w:p>
    <w:p>
      <w:r>
        <w:t>Gemäss Art. 80 Abs. 1 BGG ist die Beschwerde zulässig gegen Entscheide letzter kantonaler Instanzen und des Bundesstrafgerichts. Nach der Rechtsprechung kann der Entscheid einer unteren kantonalen Instanz nur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 BGE 126 II 377 E. 8b; Urteil 6B_451/2010 vom 13. September 2010 E. 1). Diese Voraussetzungen sind hier nicht erfüllt. Auf die Beschwerde ist nicht einzutreten, soweit sie sich gegen das Urteil des Kreisgerichts Rheintal vom 10. März 2010 richtet.</w:t>
      </w:r>
    </w:p>
    <w:p>
      <w:r>
        <w:rPr>
          <w:b/>
        </w:rPr>
        <w:t>E. 2.1</w:t>
      </w:r>
    </w:p>
    <w:p>
      <w:r>
        <w:t>Der Beschwerdeführer rügt eine willkürliche Sachverhaltsfeststellung. Er habe mit den Flugblättern nichts zu tun gehabt. Er habe das Papier weder verfasst oder in Auftrag gegeben noch habe er dieses verwendet. Auch habe er D.________ nicht angehalten, damit Kunden anzuwerben. Er wisse nicht, wie das Schreiben auf seinen Laptop gelangt sei. Unzutreffend sei, dass er gegenüber B.________ kundgetan haben soll, die C.________ AG verfüge über ein Kapital von mehreren Millionen. Bezüglich des Darlehens der A.________ AG sei nie ein spezifischer Verwendungszweck vereinbart worden. Das Geld sei der C.________ AG zur freien Verfügung überlassen worden.</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Die Einwände des Beschwerdeführers erschöpfen sich in einer unzulässigen appellatorischen Kritik. Die Vorinstanz begründet ihren Entscheid eingehend, wozu sie auf die Akten Bezug nimmt. Der Beschwerdeführer beschränkt sich darauf, seine eigene Sicht der Dinge vorzutragen. Weshalb die vorinstanzliche Beweiswürdigung offensichtlich unhaltbar und damit willkürlich sein soll, zeigt er nicht auf. Auf die Kritik an der Sachverhaltsfeststellung ist nicht einzutreten.</w:t>
      </w:r>
    </w:p>
    <w:p>
      <w:r>
        <w:rPr>
          <w:b/>
        </w:rPr>
        <w:t>E. 3</w:t>
      </w:r>
    </w:p>
    <w:p>
      <w:r>
        <w:t>Der Beschwerdeführer wendet sich gegen den Schuldspruch wegen Vergehens gegen das Bankengesetz. Er legt seiner rechtlichen Argumentation jedoch lediglich eigene, von der willkürfreien Sachverhaltsfeststellung der Vorinstanz abweichende Tatsachenbehauptungen zugrunde. Darauf ist nicht einzutreten ( Art. 105 Abs. 1 BGG ).</w:t>
      </w:r>
    </w:p>
    <w:p>
      <w:r>
        <w:rPr>
          <w:b/>
        </w:rPr>
        <w:t>E. 4</w:t>
      </w:r>
    </w:p>
    <w:p>
      <w:r>
        <w:t>Die Vorinstanz erachtet im Zusammenhang mit der Darlehensvergabe durch die A.________ AG den Tatbestand der Veruntreuung nach Art. 138 Ziff. 1 StGB als erfüllt, da der Beschwerdeführer das Darlehen nicht vereinbarungsgemäss in das bankgesicherte Finanzanlageprogramm investierte, sondern zur Finanzierung des laufenden Betriebs der C.________ AG verwendete. Der Beschwerdeführer macht in rechtlicher Hinsicht geltend, das Darlehen sei der C.________ AG zur freien Verfügung überlassen worden, weshalb von einer Zweckentfremdung nicht die Rede sein könne. Er weicht auch insofern von der verbindlichen Sachverhaltsfeststellung der Vorinstanz ab, weshalb auf die Rüge nicht einzutreten ist.</w:t>
      </w:r>
    </w:p>
    <w:p>
      <w:r>
        <w:rPr>
          <w:b/>
        </w:rPr>
        <w:t>E. 5</w:t>
      </w:r>
    </w:p>
    <w:p>
      <w:r>
        <w:t>Die Vorinstanz sprach den Beschwerdeführer des Betrugs zum Nachteil von B.________ schuldig. Der Beschwerdeführer rügt eine Verletzung von Art. 146 Abs. 1 StGB .</w:t>
      </w:r>
    </w:p>
    <w:p>
      <w:r>
        <w:rPr>
          <w:b/>
        </w:rPr>
        <w:t>E. 5.1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5.2</w:t>
      </w:r>
    </w:p>
    <w:p>
      <w:r>
        <w:t>Die Vorinstanz stellt verbindlich fest, der Beschwerdeführer habe B.________ bewusst den Eindruck vermittelt, die C.________ AG verfüge über grosse Kapitalreserven. Sie geht zu Recht von einer Täuschung aus, die für die Vermögensverfügung und den schliesslich eingetretenen Vermögensschaden kausal war. In diesem Zusammenhang nicht mehr zu hören ist der Beschwerdeführer mit dem Einwand, er habe B.________ nie eine hohe Sicherheit vorgespiegelt.</w:t>
      </w:r>
    </w:p>
    <w:p>
      <w:r>
        <w:rPr>
          <w:b/>
        </w:rPr>
        <w:t>E. 5.3.1</w:t>
      </w:r>
    </w:p>
    <w:p>
      <w:r>
        <w:t>Der Beschwerdeführer wendet eventualiter ein, die Täuschung sei nicht arglistig gewesen. B.________ habe es unterlassen, die Behauptung, die C.________ AG verfüge über ein Millionenvermögen, auf ihre Richtigkeit zu überprüfen. Damit habe er seine Sorgfaltspflichten derart massiv verletzt, dass Arglist nicht mehr bejaht werden könne.</w:t>
      </w:r>
    </w:p>
    <w:p>
      <w:r>
        <w:rPr>
          <w:b/>
        </w:rPr>
        <w:t>E. 5.3.2</w:t>
      </w:r>
    </w:p>
    <w:p>
      <w:r>
        <w:t>Arglist im Sinne von Art. 146 Abs. 1 StGB ist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je mit Hinweisen).</w:t>
      </w:r>
    </w:p>
    <w:p>
      <w:r>
        <w:t>Arglist scheidet aus, wenn der Getäuschte den Irrtum mit einem Mindestmass an Aufmerksamkeit hätte vermeiden können. Dabei ist die jeweilige Lage und Schutzbedürftigkeit des Betroffenen im Einzelfall entscheidend. Besondere Fachkenntnis und Geschäftserfahrung des Opfers sind in Rechnung zu stellen. Namentlich ist auf geistesschwache, unerfahrene oder aufgrund von Alter oder Krankheit beeinträchtigte Opfer oder auf solche, die sich in einem Abhängigkeits- oder Unterordnungsverhältnis oder in einer Notlage befinden, und deshalb kaum imstande sind, dem Täter zu misstrauen, Rücksicht zu nehmen.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w:t>
      </w:r>
    </w:p>
    <w:p>
      <w:r>
        <w:rPr>
          <w:b/>
        </w:rPr>
        <w:t>E. 5.3.3</w:t>
      </w:r>
    </w:p>
    <w:p>
      <w:r>
        <w:t>Die Vorinstanz nimmt zutreffend auch die Tatbestandsvoraussetzung der Arglist als gegeben an. Sie weist darauf hin, dass der Beschwerdeführer einen grossen Aufwand betrieb, um B.________ zu täuschen, indem er namentlich das Treffen in den Räumlichkeiten der E.________-bank arrangierte, an welchem zumindest zeitweise auch ein Vertreter der Bank anwesend war. Angesichts dieses Treffens und des Verhaltens des Beschwerdeführers kann dem in Finanz- und Börsenangelegenheiten relativ unerfahrenen B.________ nicht zum Vorwurf gemacht werden, dass er nicht überprüfte, ob die C.________ AG tatsächlich über ein Millionenvermögen verfügt (vgl. Urteil S. 22 f. und 28). Ein geradezu leichtfertiges Verhalten, welches die Annahme von Arglist ausschliesst, liegt nicht vor.</w:t>
      </w:r>
    </w:p>
    <w:p>
      <w:r>
        <w:rPr>
          <w:b/>
        </w:rPr>
        <w:t>E. 5.4</w:t>
      </w:r>
    </w:p>
    <w:p>
      <w:r>
        <w:t>Der Beschwerdeführer handelte mit Vorsatz und in Bereicherungsabsicht (vgl. Urteil S. 24 f.). Er machte sich daher des Betrugs im Sinne von Art. 146 Abs. 1 StGB strafbar.</w:t>
      </w:r>
    </w:p>
    <w:p>
      <w:r>
        <w:rPr>
          <w:b/>
        </w:rPr>
        <w:t>E. 6</w:t>
      </w:r>
    </w:p>
    <w:p>
      <w:r>
        <w:t>Der Beschwerdeführer argumentiert, die Vorinstanz habe die Frage, ob das Wasserprojekt und weitere Unternehmungen der C.________ AG einen reellen Hintergrund aufwiesen, zu Unrecht offen gelassen.</w:t>
      </w:r>
    </w:p>
    <w:p>
      <w:r>
        <w:t>Der Einwand geht fehl. Die Vorinstanz sprach den Beschwerdeführer der Veruntreuung zum Nachteil der A.________ AG schuldig, da er das Darlehen zweckwidrig nicht in das bankgesicherte Finanzanlageprogramm investierte. Damit konnte offenbleiben, ob dieses Projekt einen reellen Hintergrund hatte. Die Täuschung von B.________ sah die Vorinstanz in den falschen Angaben über die wirtschaftliche Leistungsfähigkeit der C.________ AG. Der Vorwurf, das Wasserprojekt habe keinen reellen Hintergrund gehabt, war auch für die rechtliche Qualifikation als Betrug nicht von Relevanz. Dass die Frage auf die Strafzumessung einen Einfluss gehabt hätte, macht der Beschwerdeführer nicht geltend.</w:t>
      </w:r>
    </w:p>
    <w:p>
      <w:r>
        <w:rPr>
          <w:b/>
        </w:rPr>
        <w:t>E. 7.1</w:t>
      </w:r>
    </w:p>
    <w:p>
      <w:r>
        <w:t>Der Beschwerdeführer rügt im Strafpunkt eine Verletzung von Art. 42 sowie Art. 47-49 StGB . Er habe sämtliche finanziellen Verpflichtungen der Gesellschaft privat auf sich genommen. Er setze seit Jahren alles daran, den von der A.________ AG und der Erbengemeinschaft B.________ erlittenen Schaden wieder auszugleichen. Die Vorinstanz habe sein Nachtatverhalten zu Unrecht nicht strafmildernd berücksichtigt. Angemessen sei eine Freiheitsstrafe von höchstens zwei Jahren, für welche ihm der bedingte Vollzug zu gewähren sei.</w:t>
      </w:r>
    </w:p>
    <w:p>
      <w:r>
        <w:rPr>
          <w:b/>
        </w:rPr>
        <w:t>E. 7.2</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t>Die Vorinstanz setzt sich in ihren Erwägungen zur Strafzumessung mit den wesentlichen schuldrelevanten Komponenten auseinander und würdigt diese zutreffend. Dass sie sich dabei von rechtlich nicht massgeblichen Gesichtspunkten hätte leiten lassen oder wesentliche Aspekte nicht berücksichtigt hätte, ist nicht ersichtlich. Die Freiheitsstrafe von 3 ½ Jahren hält sich, insbesondere in Berücksichtigung der hohen Deliktssumme, im Rahmen des sachrichterlichen Ermessens.</w:t>
      </w:r>
    </w:p>
    <w:p>
      <w:r>
        <w:rPr>
          <w:b/>
        </w:rPr>
        <w:t>E. 7.3.1</w:t>
      </w:r>
    </w:p>
    <w:p>
      <w:r>
        <w:t>Das Gericht mildert die Strafe, wenn der Täter aufrichtige Reue betätigt, namentlich den Schaden, soweit es ihm zuzumuten war, ersetzt hat ( Art. 48 lit. d StGB ; Art. 64 Abs. 5 aStGB). Nach der Rechtsprechung genügt nicht jede Wiedergutmachung des Schadens als Betätigung aufrichtiger Reue. Verlangt wird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Aufrichtige Reue setzt voraus, dass er die Schwere seiner Verfehlung einsieht und die Tat gesteht ( BGE 107 IV 98 ; Urteil 6B_857/2010 vom 4. April 2011 E. 5.2.2.5).</w:t>
      </w:r>
    </w:p>
    <w:p>
      <w:r>
        <w:rPr>
          <w:b/>
        </w:rPr>
        <w:t>E. 7.3.2</w:t>
      </w:r>
    </w:p>
    <w:p>
      <w:r>
        <w:t>Die Vorinstanz erwägt, der Deliktsbetrag sei vollständig aufgebraucht und der Beschwerdeführer verfüge über keine ausreichenden Mittel, um B.________ bzw. dessen Erben schadlos zu halten. Eine Schadloshaltung der A.________ AG sei bis dato ebenfalls unterblieben. Strafmindernde oder strafmildernde Täterkomponenten seien nicht gegeben. Der Beschwerdeführer habe sich zwar zur Rückzahlung der Deliktsbeträge bereit erklärt. Angesichts der zivilrechtlichen Ausgangslage sei dies jedoch zu erwarten gewesen. Tateinsicht oder Reue habe er nicht gezeigt (Urteil S. 28).</w:t>
      </w:r>
    </w:p>
    <w:p>
      <w:r>
        <w:rPr>
          <w:b/>
        </w:rPr>
        <w:t>E. 7.3.3</w:t>
      </w:r>
    </w:p>
    <w:p>
      <w:r>
        <w:t>Die vorinstanzlichen Erwägungen sind nicht zu beanstanden. Der Beschwerdeführer behauptet nicht, die Vorinstanz sei von falschen Tatsachen ausgegangen. Er zeigt in seiner Beschwerde auch nicht auf, welche konkreten Anstrengungen er im Hinblick auf eine Wiedergutmachung unternommen haben will. Die Beschwerde ist auch in diesem Punkt unbegründet.</w:t>
      </w:r>
    </w:p>
    <w:p>
      <w:r>
        <w:rPr>
          <w:b/>
        </w:rPr>
        <w:t>E. 7.4</w:t>
      </w:r>
    </w:p>
    <w:p>
      <w:r>
        <w:t>Bei Freiheitsstrafen von mehr als drei Jahren sieht das Gesetz nur den unbedingten Vollzug vor (vgl. Art. 43 Abs. 1 StGB ). Die Vorinstanz hatte die Strafe von 3 ½ Jahren folglich zwingend unbedingt auszusprechen.</w:t>
      </w:r>
    </w:p>
    <w:p>
      <w:r>
        <w:rPr>
          <w:b/>
        </w:rPr>
        <w:t>E. 8</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