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6B_789/2008 vom 28. Mai 2009</w:t>
      </w:r>
    </w:p>
    <w:p>
      <w:r>
        <w:t>Bundesgericht, 2009-05-28, FR</w:t>
      </w:r>
    </w:p>
    <w:p>
      <w:r>
        <w:rPr>
          <w:b/>
        </w:rPr>
        <w:t xml:space="preserve">Quelle: </w:t>
      </w:r>
      <w:r>
        <w:t>https://mcp.opencaselaw.ch/entscheid/bger_6B_789_2008</w:t>
      </w:r>
    </w:p>
    <w:p>
      <w:r>
        <w:t>FR: TF 6B_789/2008 du 28 mai 2009</w:t>
      </w:r>
    </w:p>
    <w:p>
      <w:r>
        <w:t>IT: TF 6B_789/2008 del 28 maggio 2009</w:t>
      </w:r>
    </w:p>
    <w:p>
      <w:pPr>
        <w:pStyle w:val="Heading2"/>
      </w:pPr>
      <w:r>
        <w:t>Erwägungen</w:t>
      </w:r>
    </w:p>
    <w:p>
      <w:r>
        <w:rPr>
          <w:b/>
        </w:rPr>
        <w:t>E. 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La loi reconnaît notamment un tel intérêt à l'accusé (ch. 1), à son représentant légal (ch. 2), à l'accusateur public (ch. 3), à l'accusateur privé si, conformément au droit cantonal, il a soutenu l'accusation sans l'intervention de l'accusateur public (ch. 4), à la victime si la décision attaquée peut avoir des effets sur le jugement de ses prétentions civiles (ch. 5) et au plaignant, pour autant que la contestation porte sur le droit de porter plainte (ch. 6).</w:t>
      </w:r>
    </w:p>
    <w:p>
      <w:r>
        <w:rPr>
          <w:b/>
        </w:rPr>
        <w:t>E. 1.1</w:t>
      </w:r>
    </w:p>
    <w:p>
      <w:r>
        <w:t>Le recourant n'agit pas en qualité d'accusateur privé, ni de plaignant, sa contestation ne portant pas sur son droit de porter plainte. Il reste donc à examiner s'il peut agir en tant que victime, à savoir si la décision attaquée peut avoir des effets sur le jugement de ses prétentions civiles au sens de l'art. 81 al. 1 let. b ch. 5 LTF. Cette disposition correspond aux art. 270 let . e aPPF, 8 al. 1 let. c aLAVI et 37 al. 1 let. c LAVI, de sorte que la jurisprudence y relative conserve son actualité (cf. ATF 133 IV 228 consid. 2 p. 229 ss).</w:t>
      </w:r>
    </w:p>
    <w:p>
      <w:r>
        <w:rPr>
          <w:b/>
        </w:rPr>
        <w:t>E. 1.2</w:t>
      </w:r>
    </w:p>
    <w:p>
      <w:r>
        <w:t>La jurisprudence exige que la victime, qui ne peut se limiter à réserver ses prétentions pour une procédure ultérieure, ait pris des conclusions civiles sur le fond dans le cadre de la procédure pénale pour autant que cela pouvait être raisonnablement exigé d'elle ( ATF 127 IV 185 consid. 1a et 1b p. 187 s.). Des conclusions civiles ne sont cependant pas nécessaires lorsque le dommage n'est pas encore établi ou ne peut pas encore être chiffré. Il incombe alors à la victime qui n'a pas pris de conclusions civiles d'expliquer quelles prétentions elle entend faire valoir et pourquoi elle n'a pas agi dans le cadre de la procédure pénale ( ATF 123 IV 184 consid. 1b p. 187). Cette exigence découle de la conception de la LAVI qui a en particulier pour but de permettre à la victime de faire valoir ses prétentions dans la procédure pénale elle-même ( ATF 131 IV 195 consid. 1.2.2 p. 198; 128 IV 137 consid. 2b/dd p. 143).</w:t>
      </w:r>
    </w:p>
    <w:p>
      <w:r>
        <w:t>En première instance, le recourant a conclu à la réserve de ses droits de partie civile (procès-verbal d'audience du Tribunal de police du 12 décembre 2006 p. 5; jugement du Tribunal de police p. 3). En instance d'appel, il a sollicité la confirmation de la décision déférée (arrêt de la Cour de justice consid. B p. 2). Dans la présente procédure, il allègue un intérêt juridique à la modification de l'arrêt entrepris, au motif que celui-ci aurait une incidence sur ses prétentions civiles à l'encontre de l'automobiliste. Il n'indique toutefois pas en quoi consistent précisément ces prétentions et quels motifs l'auraient empêché de les invoquer dans la procédure pénale. Dans ces conditions, il n'établit pas avoir un intérêt juridique au recours et n'a donc pas qualité au sens de l'art. 81 al. 1 let. b ch. 5 LTF.</w:t>
      </w:r>
    </w:p>
    <w:p>
      <w:r>
        <w:rPr>
          <w:b/>
        </w:rPr>
        <w:t>E. 2</w:t>
      </w:r>
    </w:p>
    <w:p>
      <w:r>
        <w:t>Sur le vu de ce qui précède, le recours est irrecevable. Le recourant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