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6B_787/2014 vom 27. November 2014</w:t>
      </w:r>
    </w:p>
    <w:p>
      <w:r>
        <w:t>Bundesgericht, 2014-11-27, FR</w:t>
      </w:r>
    </w:p>
    <w:p>
      <w:r>
        <w:rPr>
          <w:b/>
        </w:rPr>
        <w:t xml:space="preserve">Quelle: </w:t>
      </w:r>
      <w:r>
        <w:t>https://mcp.opencaselaw.ch/entscheid/bger_6B_787_2014</w:t>
      </w:r>
    </w:p>
    <w:p>
      <w:r>
        <w:t>FR: TF 6B_787/2014 du 27 novembre 2014</w:t>
      </w:r>
    </w:p>
    <w:p>
      <w:r>
        <w:t>IT: TF 6B_787/2014 del 27 novembre 2014</w:t>
      </w:r>
    </w:p>
    <w:p>
      <w:pPr>
        <w:pStyle w:val="Heading2"/>
      </w:pPr>
      <w:r>
        <w:t>Erwägungen</w:t>
      </w:r>
    </w:p>
    <w:p>
      <w:r>
        <w:rPr>
          <w:b/>
        </w:rPr>
        <w:t>E. 1</w:t>
      </w:r>
    </w:p>
    <w:p>
      <w:r>
        <w:t>Le recourant soutient que la courte peine privative de liberté ferme qui lui est infligée viole l' art. 41 CP .</w:t>
      </w:r>
    </w:p>
    <w:p>
      <w:r>
        <w:rPr>
          <w:b/>
        </w:rPr>
        <w:t>E. 1.1</w:t>
      </w:r>
    </w:p>
    <w:p>
      <w:r>
        <w:t>Selon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t>Dans la conception de la partie générale du code pénal,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 arrêt 6B_709/2013 du 27 janvier 2014 consid. 2).</w:t>
      </w:r>
    </w:p>
    <w:p>
      <w:r>
        <w:rPr>
          <w:b/>
        </w:rPr>
        <w:t>E. 1.2</w:t>
      </w:r>
    </w:p>
    <w:p>
      <w:r>
        <w:t>Il convient préalablement de déterminer si les conditions du sursis sont réunies ou non, point déterminant au regard de l' art. 41 al. 1 CP . Cette question s'examine selon les critères posés par l' art. 42 CP , qui ont été rappelés dans l'arrêt publié aux ATF 135 IV 180 consid. 2.1; il y est renvoyé.</w:t>
      </w:r>
    </w:p>
    <w:p>
      <w:r>
        <w:t>Le recourant a déjà été condamné à quatre reprises, dont deux fois à des peines privatives de liberté ferme. Ces différentes condamnations ne l'ont pas dissuadé à enfreindre l'ordre juridique suisse. Le recourant n'a pas seulement commis des infractions à la loi sur les étrangers dans le passé, mais a également porté atteinte à plusieurs biens juridiquement protégés, à savoir au patrimoine et à l'intégrité corporelle, ce qui distingue son cas de celui d'autres étrangers qui résident illégalement en Suisse, mais respectent pour le surplus l'ordre juridique suisse. Vu ces nombreuses condamnations, le pronostic ne peut être que défavorable.</w:t>
      </w:r>
    </w:p>
    <w:p>
      <w:r>
        <w:t>Le recourant invoque sa situation familiale et son permis N. La cour cantonale n'a pas ignoré ces circonstances. Ces éléments ne sauraient toutefois renverser le pronostic, qui reste défavorable au vu de la propension du recourant à commettre des infractions. Le recourant fait également valoir qu'il a toujours collaboré avec les autorités en matière de droit des étrangers et les autorités pénales en donnant suite aux convocations qui lui étaient adressées. Il n'y a cependant rien d'exceptionnel à ce qu'il se soit présenté aux audiences de jugement de première instance et d'appel, dès lors que l'on peut attendre de tout prévenu qu'il donne suite aux convocations.</w:t>
      </w:r>
    </w:p>
    <w:p>
      <w:r>
        <w:t>En définitive, la cour cantonale a considéré à juste titre que le pronostic était défavorable.</w:t>
      </w:r>
    </w:p>
    <w:p>
      <w:r>
        <w:rPr>
          <w:b/>
        </w:rPr>
        <w:t>E. 1.3</w:t>
      </w:r>
    </w:p>
    <w:p>
      <w:r>
        <w:t>Dès lors que le pronostic est défavorable et que, par conséquent, un sursis est exclu, la première condition de l' art. 41 al. 1 CP est réalisée. Il convient ensuite d'examiner la seconde condition de la disposition précitée, à savoir de déterminer si une peine pécuniaire ou un travail d'intérêt général peuvent être exécutés.</w:t>
      </w:r>
    </w:p>
    <w:p>
      <w:r>
        <w:rPr>
          <w:b/>
        </w:rPr>
        <w:t>E. 1.3.1</w:t>
      </w:r>
    </w:p>
    <w:p>
      <w:r>
        <w:t>Le recourant a persisté dans la délinquance malgré deux condamnations antérieures à une peine pécuniaire avec sursis. Ces condamnations n'ont donc eu aucun effet dissuasif sur le recourant. Dans ces conditions, une peine pécuniaire apparaît dénuée de toute efficacité et peut être exclue.</w:t>
      </w:r>
    </w:p>
    <w:p>
      <w:r>
        <w:rPr>
          <w:b/>
        </w:rPr>
        <w:t>E. 1.3.2</w:t>
      </w:r>
    </w:p>
    <w:p>
      <w:r>
        <w:t>Une peine pécuniaire étant exclue, il reste l'option entre un travail d'intérêt général et une peine privative de liberté ferme de moins de six mois (cf. arrêt 6B_128/2011 du 14 juin 2011 consid. 3.5).</w:t>
      </w:r>
    </w:p>
    <w:p>
      <w:r>
        <w:t>Le prononcé d'un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6B_262/2012 du 4 octobre 2012 consid. 1.3.2; 6B_128/2011 du 14 juin 2011, consid. 3.5.2). Tel n'est en revanche pas nécessairement le cas lorsque le prévenu est au bénéfice du régime de l'admission provisoire - permis F - au sens des art. 83 ss LEtr (loi fédérale du 16 décembre 2005 sur les étrangers; RS 142.20), car si la situation de l'intéressé demeure précaire, on ne peut sur cette seule base exclure une certaine durabilité de sa présence dans le pays (cf. arrêt 6B_128/2011 du 14 juin 2011, consid. 3.5.3).</w:t>
      </w:r>
    </w:p>
    <w:p>
      <w:r>
        <w:t>La cour cantonale a laissé indécise la question de savoir si le travail d'intérêt général était compatible avec le statut du recourant, qui était au bénéfice d'un permis N, d'abord valable jusqu'au 20 juin 2013, puis renouvelé jusqu'au 5 juin 2014. Pour exclure le travail d'intérêt général, elle s'est fondée sur les antécédents du recourant. Elle a considéré que le prononcé d'une peine de travail d'intérêt général n'était pas suffisamment dissuasive.</w:t>
      </w:r>
    </w:p>
    <w:p>
      <w:r>
        <w:t>Bien que condamné déjà à des peines fermes privatives de liberté, le recourant n'a pas hésité à récidiver. Dans ces conditions, suivant la cour cantonale, il faut admettre que la propension du recourant à commettre des infractions ne permet pas d'envisager qu'une peine de travail d'intérêt général, moins sévère, puisse avoir un quelconque effet dissuasif. C'est donc à juste titre que la cour cantonale à jugé cette sanction inadéquate, dans l'optique de la prévention individuelle.</w:t>
      </w:r>
    </w:p>
    <w:p>
      <w:r>
        <w:rPr>
          <w:b/>
        </w:rPr>
        <w:t>E. 1.4</w:t>
      </w:r>
    </w:p>
    <w:p>
      <w:r>
        <w:t>En définitive, la cour cantonale n'a donc pas violé l' art. 41 CP en prononçant une peine privative de liberté ferme de soixante jours.</w:t>
      </w:r>
    </w:p>
    <w:p>
      <w:r>
        <w:rPr>
          <w:b/>
        </w:rPr>
        <w:t>E. 2</w:t>
      </w:r>
    </w:p>
    <w:p>
      <w:r>
        <w:t>Il convient encore d'examiner si le prononcé de cette peine privative de liberté est compatible avec la Directive du Parlement européen et du Conseil du 16 décembre 2008 relative aux normes et procédures communes applicables dans les Etats membres au retour des ressortissants de pays tiers en séjour irrégulier (Directive sur le retour 2008/115/CE).</w:t>
      </w:r>
    </w:p>
    <w:p>
      <w:r>
        <w:rPr>
          <w:b/>
        </w:rPr>
        <w:t>E. 2.1</w:t>
      </w:r>
    </w:p>
    <w:p>
      <w:r>
        <w:t>Par arrêté du 18 juin 2010, la Suisse a repris le contenu de cette Directive, en tant que développement de l'acquis de Schengen (RO 2010 5925). Selon la Cour de justice de l'Union européenne,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(arrêt du 28 avril 2011 C-61/11 PPU El Dridi, ch. 63; arrêt du 6 décembre 2011 C-329/11 Achughbabian ch. 50; arrêt du 6 décembre 2012 C 430/11 Sagor). Le Tribunal fédéral a admis que les juridictions suisses devaient faire leur possible pour mettre en oeuvre la jurisprudence européenne relative à cette directive, sans quoi la participation de la Suisse à Schengen pourrait être menacée (arrêts 6B_196/2012 du 24 janvier 2013 consid. 2.1; 6B_173/2013 du 19 août 2013 consid. 1.1 à 1.4).</w:t>
      </w:r>
    </w:p>
    <w:p>
      <w:r>
        <w:rPr>
          <w:b/>
        </w:rPr>
        <w:t>E. 2.2</w:t>
      </w:r>
    </w:p>
    <w:p>
      <w:r>
        <w:t>Comme, dans le cas d'espèce, le recourant est autorisé à rester en Suisse, aucune procédure de renvoi n'entre en considération, de sorte que la peine infligée au recourant n'entrave pas une telle procédure. La condamnation pénale du recourant n'est donc pas incompatible avec la directive sur le retour et la jurisprudence européenne y relative (cf. arrêt 6B_173/2013 du 19 août 2013, consid. 1.5).</w:t>
      </w:r>
    </w:p>
    <w:p>
      <w:r>
        <w:rPr>
          <w:b/>
        </w:rPr>
        <w:t>E. 3</w:t>
      </w:r>
    </w:p>
    <w:p>
      <w:r>
        <w:t>Le recours doit ainsi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