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786/2019 vom 4. Februar 2020</w:t>
      </w:r>
    </w:p>
    <w:p>
      <w:r>
        <w:t>Bundesgericht, 2020-02-04, FR</w:t>
      </w:r>
    </w:p>
    <w:p>
      <w:r>
        <w:rPr>
          <w:b/>
        </w:rPr>
        <w:t xml:space="preserve">Quelle: </w:t>
      </w:r>
      <w:r>
        <w:t>https://mcp.opencaselaw.ch/entscheid/bger_6B_786_2019</w:t>
      </w:r>
    </w:p>
    <w:p>
      <w:r>
        <w:t>FR: TF 6B 786/2019 du 4 février 2020</w:t>
      </w:r>
    </w:p>
    <w:p>
      <w:r>
        <w:t>IT: TF 6B 786/2019 del 4 febbraio 2020</w:t>
      </w:r>
    </w:p>
    <w:p>
      <w:pPr>
        <w:pStyle w:val="Heading2"/>
      </w:pPr>
      <w:r>
        <w:t>Regeste</w:t>
      </w:r>
    </w:p>
    <w:p>
      <w:r>
        <w:t>Extension du champ d'application de décisions sur recours (art. 392 et 356 al. 7 CPP), droit d'être entendu, déni de justice formel, etc. | Procédure pénale</w:t>
      </w:r>
    </w:p>
    <w:p>
      <w:pPr>
        <w:pStyle w:val="Heading2"/>
      </w:pPr>
      <w:r>
        <w:t>Erwägungen</w:t>
      </w:r>
    </w:p>
    <w:p>
      <w:r>
        <w:rPr>
          <w:b/>
        </w:rPr>
        <w:t>E. 1</w:t>
      </w:r>
    </w:p>
    <w:p>
      <w:r>
        <w:t>A l'encontre de la décision de la cour cantonale portant sur la contestation du courrier du 21 mars 2019 du ministère public, le recourant se plaint de déni de justice ( art. 29 al. 1 Cst. ) et de violation de son droit d'être entendu ( art. 29 al. 2 Cst ), considérant essentiellement que l'autorité précédente ne s'est pas prononcée sur ses griefs fondés sur les art. 392 et 356 al. 7 CPP .</w:t>
      </w:r>
    </w:p>
    <w:p>
      <w:r>
        <w:rPr>
          <w:b/>
        </w:rPr>
        <w:t>E. 1.1</w:t>
      </w:r>
    </w:p>
    <w:p>
      <w:r>
        <w:t>A teneur de l' art. 392 CPP , lorsque, dans une même procédure, un recours a été interjeté par certains des prévenus ou des condamnés seulement et qu'il a été admis, la décision attaquée est annulée ou modifiée également en faveur de ceux qui n'ont pas interjeté recours aux conditions suivantes: a. l'autorité de recours juge différemment les faits; b. les considérants valent aussi pour les autres personnes impliquées (al. 1). Avant de rendre sa décision, l'autorité de recours entend s'il y a lieu les prévenus ou les condamnés qui n'ont pas interjeté recours, le ministère public et la partie plaignante (al. 2). Le but poursuivi par l' art. 392 CPP , dont l'application est obligatoire, est d'éviter des demandes de révision ultérieures (Moreillon/Parein-Reymond, Petit commentaire CPP, 2016, n° 3 ad art. 392; Schmid/ Jositsch, Schweizerische Strafprozessordnung: Praxiskommentar, 3e éd. 2018, n° 3 ad art. 392). Ainsi, la révision, en tant que moyen de droit subsidiaire, cède le pas à l'application de l' art. 392 CPP , de sorte que certains auteurs l'appellent une " révision sui generis " (Thomas Fingerhuth, in Kommentar zur Schweizerischen Strafprozessordnung, 2e éd. 2014, n° 31 ad art. 410; Ziegler/Keller, n° 1 ad art. 392 et Marianne Heer, n° 90 ad art. 410, in Basler Kommentar, Schweizerische Strafprozessordnung, 2e éd. 2014; Schmid/Jositsch, Handbuch des Schweizerischen Strafprozessrechts, 3e éd. 2017, n° 1590 p. 711). Selon l' art. 356 al. 7 CPP qui régit la procédure devant le tribunal de première instance après une opposition à l'ordonnance pénale, lorsque des ordonnances pénales portant sur les mêmes faits ont été rendues contre plusieurs personnes, l'art. 392 est applicable par analogie.</w:t>
      </w:r>
    </w:p>
    <w:p>
      <w:r>
        <w:rPr>
          <w:b/>
        </w:rPr>
        <w:t>E. 1.2</w:t>
      </w:r>
    </w:p>
    <w:p>
      <w:r>
        <w:t>La cour cantonale a considéré que la question de la recevabilité pouvait rester ouverte, vu l'issue du recours. Elle a retenu que ce recours tendait en substance à l'annulation de l'ordonnance pénale prononcée le 14 janvier 2019 à l'encontre du recourant dans la procédure P/23561/2018 jointe ultérieurement à la procédure P/10567/2018, et au classement de la procédure pénale diligentée contre lui ensuite du retrait de plainte survenu le 13 février 2019. Le ministère public n'avait pas refusé d'étendre au prévenu le bénéfice du classement prononcé le 20 mars 2019 à l'encontre de ses co-prévenus, mais considéré que cette requête, qui devait être interprétée comme une demande de révision, ressortait de la compétence de la Chambre pénale d'appel et de révision et la lui avait transmise. Selon la cour cantonale, la contestation de cet acte devant elle ne faisait pas naître en sa faveur une compétence de révision sui generis découlant des art. 392 et 356 al. 7 CPP , puisqu'elle n'était pas juge du fond ni autorité de recours contre des ordonnances pénales entrées en force. Il ne lui appartenait dès lors pas d'examiner si les motifs avancés à l'appui de la demande de révision étaient réalisés, cette compétence revenant à la Chambre pénale d'appel et de révision (arrêt attaqué, consid. 2 p. 4).</w:t>
      </w:r>
    </w:p>
    <w:p>
      <w:r>
        <w:rPr>
          <w:b/>
        </w:rPr>
        <w:t>E. 1.3</w:t>
      </w:r>
    </w:p>
    <w:p>
      <w:r>
        <w:t>La cour cantonale s'est ainsi prononcée sur sa propre compétence et l'a rejetée, mettant définitivement fin à la contestation du courrier du 21 mars 2019 portée devant elle. Il ne s'agit donc pas d'une décision préjudicielle ou incidente sur la compétence ( art. 92 al. 1 LTF ; cf. arrêts 6B_1298/2018 du 21 mars 2019 consid. 1; 6B_161/2019 du 6 mars 2019 consid. 1.1), mais d'une décision finale, de sorte que le recours en matière pénale au Tribunal fédéral est recevable sur ce point.</w:t>
      </w:r>
    </w:p>
    <w:p>
      <w:r>
        <w:rPr>
          <w:b/>
        </w:rPr>
        <w:t>E. 1.4</w:t>
      </w:r>
    </w:p>
    <w:p>
      <w:r>
        <w:t>La cour cantonale a écarté le recours, motif pris de son incompétence pour traiter une demande de révision. Or le recourant faisait précisément valoir devant elle l'argument selon lequel il n'avait pas saisi le ministère public d'une demande de révision de l'ordonnance pénale entrée en force, mais demandait son annulation sur la base d'une application par analogie des art. 392 al. 1 et 356 al. 7 CPP. Aussi, avant de nier sa compétence en matière de révision, la cour cantonale devait dire si le moyen de droit dont se prévalait le recourant pour agir existait, ou si, à l'inverse, c'était à bon droit que le ministère public avait considéré que la requête formée par le recourant ne reposait sur aucune base légale, de sorte qu'elle devait être interprétée comme une demande de révision ressortant de la compétence de la Chambre pénale d'appel et de révision. En d'autres termes, la cour cantonale devait préalablement résoudre la problématique que lui soumettait le recourant avant de pouvoir déterminer sa propre compétence. Cet examen préalable du droit invoqué par l'intéressé ne préjugeait en rien de la question de savoir si les motifs avancés à l'appui de la demande justifiaient l'annulation de l'ordonnance pénale entrée en force; ainsi, à supposer que le recourant puisse se prévaloir d'une application analogique des art. 392 et 356 al. 7 CPP auprès du ministère public, il y aura alors lieu de déterminer si un retrait de plainte intervenu après l'entrée en force de l'ordonnance pénale doit conduire à l'annulation de cette dernière. En bref, en tenant pour acquis que le recourant sollicitait la révision de son ordonnance pénale et en se prononçant dès lors uniquement sur sa propre compétence pour statuer sur une demande de ce type, la cour cantonale ne s'est pas saisie des griefs qui lui étaient soumis, autrement dit n'a pas examiné s'il existait une voie de droit devant le ministère public permettant l'annulation d'une ordonnance pénale en vertu des art. 392 et 357 al. 7 CPP . En rejetant le recours sans traiter des questions posées, la cour cantonale a contrevenu à l' art. 29 al. 1 Cst (interdiction du déni de justice formel). Le recours est par conséquent admis pour ce motif, ce qui rend sans objet les autres griefs soulevés par le recourant. En particulier, nul n'est besoin de déterminer si le recourant avait la qualité pour recourir contre l'ordonnance de classement du 20 mars 2019.</w:t>
      </w:r>
    </w:p>
    <w:p>
      <w:r>
        <w:rPr>
          <w:b/>
        </w:rPr>
        <w:t>E. 2</w:t>
      </w:r>
    </w:p>
    <w:p>
      <w:r>
        <w:t>L'arrêt entrepris doit être annulé et la cause renvoyée à la cour cantonale pour nouvelle décision. Le recourant, qui obtient gain de cause, a droit à des dépens à la charge du canton de Genève ( art. 68 al. 1 LTF ). Il n'est pas perçu de frais judiciaires ( art. 66 al. 4 LTF ). Au regard de la nature procédurale du vice examiné, et dès lors que le Tribunal fédéral n'a pas traité la cause sur le fond, ne préjugeant ainsi pas de l'issue de la cause, il peut être procédé au renvoi sans ordonner préalablement un échange d'écritures (cf. ATF 133 IV 293 consid. 3.4.2 p. 296; arrêt 6B_248/2019 du 29 mars 2019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