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6B_786/2016 vom 28. November 2016</w:t>
      </w:r>
    </w:p>
    <w:p>
      <w:r>
        <w:t>Bundesgericht, 2016-11-28, DE</w:t>
      </w:r>
    </w:p>
    <w:p>
      <w:r>
        <w:rPr>
          <w:b/>
        </w:rPr>
        <w:t xml:space="preserve">Quelle: </w:t>
      </w:r>
      <w:r>
        <w:t>https://mcp.opencaselaw.ch/entscheid/bger_6B_786_2016</w:t>
      </w:r>
    </w:p>
    <w:p>
      <w:r>
        <w:t>FR: TF 6B_786/2016 du 28 novembre 2016</w:t>
      </w:r>
    </w:p>
    <w:p>
      <w:r>
        <w:t>IT: TF 6B_786/2016 del 28 novembre 2016</w:t>
      </w:r>
    </w:p>
    <w:p>
      <w:pPr>
        <w:pStyle w:val="Heading2"/>
      </w:pPr>
      <w:r>
        <w:t>Erwägungen</w:t>
      </w:r>
    </w:p>
    <w:p>
      <w:r>
        <w:rPr>
          <w:b/>
        </w:rPr>
        <w:t>E. 1</w:t>
      </w:r>
    </w:p>
    <w:p>
      <w:r>
        <w:t>Der Beschwerdeführer ersuchte am 3. Mai 2016 um Erlass des ihm gestützt auf das Urteil der 2. Strafkammer des Obergerichts des Kantons Bern vom 9. Oktober 2015 in Rechnung gestellten Betrags von Fr. 3'480.-- (Fr. 3'450.-- Gebühr und Fr. 30.-- Busse). Die Vorinstanz wies das Gesuch mit Beschluss vom 6. Juni 2016 ab, soweit sie darauf eintrat.</w:t>
      </w:r>
    </w:p>
    <w:p>
      <w:r>
        <w:t>Der Beschwerdeführer gelangt mit Beschwerde an das Bundesgericht.</w:t>
      </w:r>
    </w:p>
    <w:p>
      <w:r>
        <w:rPr>
          <w:b/>
        </w:rPr>
        <w:t>E. 2</w:t>
      </w:r>
    </w:p>
    <w:p>
      <w:r>
        <w:t>In einer Beschwerde ans Bundesgericht ist darzulegen, aus welchem Grund der angefochtene Entscheid nach Auffassung des Beschwerdeführers gegen das Recht verstossen soll ( Art. 42 Abs. 2 BGG ). Die Bestimmungen von Art. 95 ff. BGG nennen die vor Bundesgericht zulässigen Beschwerdegründe. Hinsichtlich der Verletzung von Grundrechten gilt eine qualifizierte Rügepflicht ( Art. 106 Abs. 2 BGG ; BGE 136 I 49 E. 1.4.1 S. 53, 65 E. 1.3.1 S. 68 mit Hinweisen). Es obliegt dem Beschwerdeführer darzulegen, dass und inwiefern die Vorinstanz mit dem angefochtenen Beschluss gegen das Recht im Sinne von Art. 95 BGG verstossen könnte. Dieser Voraussetzung genügt die vorliegende Beschwerde nicht. Der Beschwerdeführer vermag mit seinen nicht sachbezogenen Ausführungen nicht aufzuzeigen, inwiefern die Begründung der Vorinstanz bzw. deren Beschluss im Ergebnis selbst rechts- und verfassungswidrig sein könnte. Soweit der Beschwerdeführer den am vorinstanzlichen Entscheid mitwirkenden Richtern im Übrigen sinngemäss Parteilichkeit vorwirft, ist gestützt auf sein Vorbringen nicht ersichtlich, dass und inwieweit dieser Vorwurf zutreffen könnte. Ein Entscheid, mit welchem der Beschwerdeführer nicht einverstanden ist, beweist jedenfalls noch nicht, dass daran mitwirkende Richter voreingenommen waren. Auf die Beschwerde ist mangels einer tauglichen Begründung im Verfahren nach Art. 108 BGG nicht einzutreten.</w:t>
      </w:r>
    </w:p>
    <w:p>
      <w:r>
        <w:rPr>
          <w:b/>
        </w:rPr>
        <w:t>E. 3</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