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783/2022 vom 18. Juli 2022</w:t>
      </w:r>
    </w:p>
    <w:p>
      <w:r>
        <w:t>Bundesgericht, 2022-07-18, FR</w:t>
      </w:r>
    </w:p>
    <w:p>
      <w:r>
        <w:rPr>
          <w:b/>
        </w:rPr>
        <w:t xml:space="preserve">Quelle: </w:t>
      </w:r>
      <w:r>
        <w:t>https://mcp.opencaselaw.ch/entscheid/bger_6B_783_2022</w:t>
      </w:r>
    </w:p>
    <w:p>
      <w:r>
        <w:t>FR: TF 6B 783/2022 du 18 juillet 2022</w:t>
      </w:r>
    </w:p>
    <w:p>
      <w:r>
        <w:t>IT: TF 6B 783/2022 del 18 luglio 2022</w:t>
      </w:r>
    </w:p>
    <w:p>
      <w:pPr>
        <w:pStyle w:val="Heading2"/>
      </w:pPr>
      <w:r>
        <w:t>Regeste</w:t>
      </w:r>
    </w:p>
    <w:p>
      <w:r>
        <w:t>Prolongation de la mesure de substitution | Droit pénal (en général)</w:t>
      </w:r>
    </w:p>
    <w:p>
      <w:pPr>
        <w:pStyle w:val="Heading2"/>
      </w:pPr>
      <w:r>
        <w:t>Erwägungen</w:t>
      </w:r>
    </w:p>
    <w:p>
      <w:r>
        <w:rPr>
          <w:b/>
        </w:rPr>
        <w:t>E. 1</w:t>
      </w:r>
    </w:p>
    <w:p>
      <w:r>
        <w:t>Par arrêt du 30 mai 2022, la Chambre des recours pénale du Tribunal cantonal vaudois a déclaré irrecevable le recours formé par A.________ contre l'ordonnance rendue le 17 mai 2022 par le Tribunal des mesures de contrainte, par laquelle cette dernière autorité a prolongé en lieu de place de la détention pour des motifs de sûreté de A.________ une mesure de substitution à forme de la poursuite du placement de A.________ au sein de l'Établissement B.________ ou de toute autre institution ou établissement jugé approprié par l'Office d'exécution des peines du canton de Vaud (OEP).</w:t>
      </w:r>
    </w:p>
    <w:p>
      <w:r>
        <w:rPr>
          <w:b/>
        </w:rPr>
        <w:t>E. 2</w:t>
      </w:r>
    </w:p>
    <w:p>
      <w:r>
        <w:t>Par acte daté 7 juin 2022, A.________ a formé un recours au Tribunal fédéral contre l'arrêt susmentionné. 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 En l'espèce, le recourant fait valoir que la cour cantonale aurait omis de tenir compte de ce qu'il avait exigé un nouvel avocat, respectivement demandé "la récusation et la révocation" de son conseil. Or, il ressort de l'arrêt attaqué que la cour cantonale a abordé ce point et l'on ne discerne aucune critique recevable à cet égard dans son écriture. Au surplus, le recourant se limite pour l'essentiel à faire valoir que certains juges cantonaux figurant dans la composition ayant rendu la décision attaquée feraient partie d'une organisation criminelle. On ne saurait y voir une critique topique, dûment motivée, de ladite décision. Il ne suffit pas davantage au recourant de prétendre que des documents qu'il dit avoir produits auraient été occultés. Il s'avère en réalité qu'en l'absence de toute critique topique de l'arrêt attaqué, l'écriture du recourant ne répond manifestement pas aux exigences d'un recours en matière pénale au Tribunal fédéral (art. 42 al. 2 et 106 al. 2 LTF).</w:t>
      </w:r>
    </w:p>
    <w:p>
      <w:r>
        <w:rPr>
          <w:b/>
        </w:rPr>
        <w:t>E. 3</w:t>
      </w:r>
    </w:p>
    <w:p>
      <w:r>
        <w:t>Au vu de ce qui précède, le recours doit être déclaré irrecevable en application de l' art. 108 al. 1 let. b LTF . Le présent arrêt est exceptionnellement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