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6B_783/2015 vom 11. November 2015</w:t>
      </w:r>
    </w:p>
    <w:p>
      <w:r>
        <w:t>Bundesgericht, 2015-11-11, DE</w:t>
      </w:r>
    </w:p>
    <w:p>
      <w:r>
        <w:rPr>
          <w:b/>
        </w:rPr>
        <w:t xml:space="preserve">Quelle: </w:t>
      </w:r>
      <w:r>
        <w:t>https://mcp.opencaselaw.ch/entscheid/bger_6B_783_2015</w:t>
      </w:r>
    </w:p>
    <w:p>
      <w:r>
        <w:t>FR: TF 6B_783/2015 du 11 novembre 2015</w:t>
      </w:r>
    </w:p>
    <w:p>
      <w:r>
        <w:t>IT: TF 6B_783/2015 del 11 novembre 2015</w:t>
      </w:r>
    </w:p>
    <w:p>
      <w:pPr>
        <w:pStyle w:val="Heading2"/>
      </w:pPr>
      <w:r>
        <w:t>Erwägungen</w:t>
      </w:r>
    </w:p>
    <w:p>
      <w:r>
        <w:rPr>
          <w:b/>
        </w:rPr>
        <w:t>E. 1</w:t>
      </w:r>
    </w:p>
    <w:p>
      <w:r>
        <w:t>Das Obergericht des Kantons Bern verurteilte den Beschwerdeführer am 9. Januar 2015 im Berufungsverfahren wegen Fahrens in angetrunkenem Zustand mit qualifizierter Blutalkoholkonzentration, Sachbeschädigung und unanständigen Benehmens zu einer Geldstrafe von 40 Tagessätzen zu Fr. 60.--, mit bedingtem Vollzug bei einer Probezeit von zwei Jahren, zu einer Verbindungsbusse von Fr. 600.-- bzw. einer Ersatzfreiheitsstrafe von zehn Tagen sowie zu einer Übertretungsbusse von Fr. 100.-- bzw. einer Ersatzfreiheitsstrafe von einem Tag. Der Beschwerdeführer wendet sich ans Bundesgericht und beantragt einen Freispruch.</w:t>
      </w:r>
    </w:p>
    <w:p>
      <w:r>
        <w:t>Die tatsächlichen Feststellungen bzw die Beweiswürdigung im angefochtenen Urteil können vor Bundesgericht gerügt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Die angebliche Willkür ist in der Beschwerde präzise zu rügen, und die Rüge ist zu begründen (Art. 106 Abs. 2 und 42 Abs. 2 BGG). Das Bundesgericht stellt insoweit hohe Anforderungen. Appellatorische Kritik, wie sie z.B. im Berufungsverfahren vor einer Instanz mit voller Kognition vorgebracht werden kann, genügt zur Begründung einer Beschwerde vor Bundesgericht nicht und ist unzulässig.</w:t>
      </w:r>
    </w:p>
    <w:p>
      <w:r>
        <w:t>Der Beschwerdeführer macht geltend, der Entscheid sei nur gestützt auf die Aussage des Privatklägers ergangen. Diese sei sehr lückenhaft und teilweise falsch. Zudem habe die Vorinstanz viele Punkte, die für ihn sprächen, ausser Acht gelassen.</w:t>
      </w:r>
    </w:p>
    <w:p>
      <w:r>
        <w:t>Diese Vorbringen stellen unzulässige appellatorische Kritik dar, denn der Beschwerdeführer sagt nicht, welche angeblich falschen und lückenhaften Aussagen des Privatklägers er meint und um welche Punkte es ihm geht, die die Vorinstanz seiner Ansicht nach zu Unrecht nicht berücksichtigt hat. Eine insoweit mindestens rudimentäre Begründung kann auch von einem juristischen Laien verlangt werden. Im Übrigen wurde der Beschwerdeführer mit Verfügung vom 17. August 2015 ausdrücklich auf die Begründungsanforderungen von Art. 42 Abs. 2 BGG und die noch laufende Beschwerdefrist hingewiesen (act. 4). Dennoch hat er es unterlassen, seine Beschwerde noch zu ergänzen. Darauf ist mangels einer tauglichen Begründung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