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782/2015 vom 27. August 2015</w:t>
      </w:r>
    </w:p>
    <w:p>
      <w:r>
        <w:t>Bundesgericht, 2015-08-27, DE</w:t>
      </w:r>
    </w:p>
    <w:p>
      <w:r>
        <w:rPr>
          <w:b/>
        </w:rPr>
        <w:t xml:space="preserve">Quelle: </w:t>
      </w:r>
      <w:r>
        <w:t>https://mcp.opencaselaw.ch/entscheid/bger_6B_782_2015</w:t>
      </w:r>
    </w:p>
    <w:p>
      <w:r>
        <w:t>FR: TF 6B 782/2015 du 27 août 2015</w:t>
      </w:r>
    </w:p>
    <w:p>
      <w:r>
        <w:t>IT: TF 6B 782/2015 del 27 agosto 2015</w:t>
      </w:r>
    </w:p>
    <w:p>
      <w:pPr>
        <w:pStyle w:val="Heading2"/>
      </w:pPr>
      <w:r>
        <w:t>Regeste</w:t>
      </w:r>
    </w:p>
    <w:p>
      <w:r>
        <w:t>Nichtanhandnahme (einfache Körperverletzung) | Strafprozess</w:t>
      </w:r>
    </w:p>
    <w:p>
      <w:pPr>
        <w:pStyle w:val="Heading2"/>
      </w:pPr>
      <w:r>
        <w:t>Erwägungen</w:t>
      </w:r>
    </w:p>
    <w:p>
      <w:r>
        <w:rPr>
          <w:b/>
        </w:rPr>
        <w:t>E. 1</w:t>
      </w:r>
    </w:p>
    <w:p>
      <w:r>
        <w:t>Die Beschwerdeführerin wirft einem Arzt vor, er habe an ihr eine unnötige Muskelbiopsie durchgeführt. Die Staatsanwaltschaft I des Kantons Zürich nahm die Strafuntersuchung wegen Körperverletzung am 13. März 2015 nicht an die Hand. Eine dagegen gerichtete Beschwerde wies das Obergericht des Kantons Zürich am 3. August 2015 ab. Die Beschwerdeführerin wendet sich ans Bundesgericht, ohne einen ausdrücklichen Antrag zu stellen. Offensichtlich strebt sie eine Verurteilung des beschuldigten Arztes an.</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Privatklägerin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 Beschwerdeführerin macht in ihrer Eingabe vor Bundesgericht keine Zivilforderung geltend. Ihren Angaben zufolge strebt sie eine Revision ihres Strafverfahrens an (Beschwerde S. 2). Dies entspricht der Feststellung der Staatsanwaltschaft, es sei das Anliegen der Beschwerdeführerin, in Erfahrung zu bringen, ob die mitochondriale Zytopathie auf ihre psychiatrische Erkrankung und ihre frühere Delinquenz Einfluss gehabt hatte (Einstellungsverfügung vom 13. März 2015 S. 3; ebenso Einvernahme der Beschwerdeführerin durch die Kantonspolizei Zürich am 11. Juni 2014, KA act. 4, S. 4 Frage 26). Mangels Zivilforderung ist die Beschwerdeführerin zum vorliegenden Rechtsmittel nicht legitimiert.</w:t>
      </w:r>
    </w:p>
    <w:p>
      <w:r>
        <w:rPr>
          <w:b/>
        </w:rPr>
        <w:t>E. 3</w:t>
      </w:r>
    </w:p>
    <w:p>
      <w:r>
        <w:t>Auch als nicht Legitimierte ist die Beschwerdeführerin grundsätzlich befugt, Rechtsverweigerung geltend zu machen (vgl. Beschwerde S. 1 Ziff. 1). Unzulässig sind allerdings - wie im vorliegenden Fall - Rügen, deren Beurteilung von der Prüfung in der Sache nicht getrennt werden kann und die im Ergebnis auf eine materielle Prüfung des angefochtenen Entscheids hinauslaufen ( BGE 141 IV 1 E. 1.1).</w:t>
      </w:r>
    </w:p>
    <w:p>
      <w:r>
        <w:rPr>
          <w:b/>
        </w:rPr>
        <w:t>E. 4</w:t>
      </w:r>
    </w:p>
    <w:p>
      <w:r>
        <w:t>Auf die Beschwerde ist im Verfahren nach Art. 108 BGG nicht einzutreten. Bei diesem Ausgang sind die Gerichtskosten der Beschwerdeführerin aufzuerlegen ( Art. 66 Abs. 1 BGG ). Analog zum Urteil 6B_207/2015 vom 9. März 2015 ist der finanziellen Lage der Beschwerdeführerin bei der Höhe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