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6B_781/2015 vom 30. September 2015</w:t>
      </w:r>
    </w:p>
    <w:p>
      <w:r>
        <w:t>Bundesgericht, 2015-09-30, DE</w:t>
      </w:r>
    </w:p>
    <w:p>
      <w:r>
        <w:rPr>
          <w:b/>
        </w:rPr>
        <w:t xml:space="preserve">Quelle: </w:t>
      </w:r>
      <w:r>
        <w:t>https://mcp.opencaselaw.ch/entscheid/bger_6B_781_2015</w:t>
      </w:r>
    </w:p>
    <w:p>
      <w:r>
        <w:t>FR: TF 6B_781/2015 du 30 septembre 2015</w:t>
      </w:r>
    </w:p>
    <w:p>
      <w:r>
        <w:t>IT: TF 6B_781/2015 del 30 settembre 2015</w:t>
      </w:r>
    </w:p>
    <w:p>
      <w:pPr>
        <w:pStyle w:val="Heading2"/>
      </w:pPr>
      <w:r>
        <w:t>Erwägungen</w:t>
      </w:r>
    </w:p>
    <w:p>
      <w:r>
        <w:rPr>
          <w:b/>
        </w:rPr>
        <w:t>E. 1</w:t>
      </w:r>
    </w:p>
    <w:p>
      <w:r>
        <w:t>In analoger Anwendung von Art. 119a BGG ist das Bundesgericht zuständig für die Behandlung von Revisionsgesuchen gegen Strafbefehle der Bundesanwaltschaft; das Revisionsverfahren richtet sich nach Art. 410 ff. StPO , wobei Art. 413 Abs. 2 lit. b StPO nicht anwendbar ist (Urteil 6B_791/2014 vom 7. Mai 2015 E. 1 mit zahlreichen Hinweisen, zur Publikation vorgesehen).</w:t>
      </w:r>
    </w:p>
    <w:p>
      <w:r>
        <w:rPr>
          <w:b/>
        </w:rPr>
        <w:t>E. 2.1</w:t>
      </w:r>
    </w:p>
    <w:p>
      <w:r>
        <w:t>Wer durch ein rechtskräftiges Strafurteil oder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zugrunde liegenden Sachverhalts von Bedeutung sind. Mit Beweismitteln wird der Nachweis von Tatsachen erbracht ( BGE 137 IV 59 E. 5.1.1). Tatsachen und Beweismittel sind neu, wenn das Gericht im Zeitpunkt der Urteilsfällung keine Kenntnis von ihnen hatte, das heisst, wenn sie ihm nicht in irgendeiner Form unterbreitet worden sind ( BGE 137 IV 59 E. 5.1.2; 130 IV 72 E. 1). Neue Tatsachen und Beweismittel sind erheblich, wenn sie geeignet sind, die tatsächlichen Feststellungen, auf die sich die Verurteilung stützt, zu erschüttern, und wenn die so veränderten Tatsachen einen deutlich günstigeren Entscheid zugunsten der verurteilten Person ermöglichen ( BGE 137 IV 59 E. 5.1.4;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w:t>
      </w:r>
    </w:p>
    <w:p>
      <w:r>
        <w:rPr>
          <w:b/>
        </w:rPr>
        <w:t>E. 2.2</w:t>
      </w:r>
    </w:p>
    <w:p>
      <w:r>
        <w:t>Das Revisionsverfahren gemäss StPO gliedert sich grundsätzlich in zwei Phasen, nämlich eine Vorprüfung ( Art. 412 Abs. 1 und 2 StPO ) und eine materielle Prüfung der geltend gemachten Revisionsgründe (Art. 412 Abs. 3 und 4 sowie Art. 413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Revisionsgründe offensichtlich unwahrscheinlich oder unbegründet sind (Urteil 6B_791/2014 vom 7. Mai 2015 E. 2.2 mit Hinweisen, zur Publikation vorgesehen).</w:t>
      </w:r>
    </w:p>
    <w:p>
      <w:r>
        <w:rPr>
          <w:b/>
        </w:rPr>
        <w:t>E. 2.3</w:t>
      </w:r>
    </w:p>
    <w:p>
      <w:r>
        <w:t>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Beweismitteln, die die verurteilte Person im Zeitpunkt, als der Strafbefehl erging, nicht kannte oder die schon damals geltend zu machen für sie unmöglich war oder keine Veranlassung bestand ( BGE 130 IV 72 E. 2.3). An dieser Rechtsprechung ist grundsätzlich festzuhalten (siehe Urteil 6B_791/2014 vom 7. Mai 2015 E. 2.3 mit Hinweisen, zur Publikation vorgesehen). Rechtsmissbrauch ist nur mit Zurückhaltung anzunehmen. Es ist in jedem Einzelfall zu prüfen, ob unter den gegebenen Umständen das Revisionsgesuch dazu dient, den ordentlichen Rechtsweg zu umgehen ( BGE 130 IV 72 E. 2.2 und E. 2.4; Urteil 6B_791/2014 vom 7. Mai 2015 E. 2.3 mit Hinweisen, zur Publikation vorgesehen).</w:t>
      </w:r>
    </w:p>
    <w:p>
      <w:r>
        <w:rPr>
          <w:b/>
        </w:rPr>
        <w:t>E. 2.4.1</w:t>
      </w:r>
    </w:p>
    <w:p>
      <w:r>
        <w:t>Der Gesuchsteller bringt vor, als Folge des Strafbefehls vom 3. Juli 2015 habe er damit begonnen, sich intensiv mit der Angelegenheit zu befassen, da er der Ansicht sei, nichts Unrechtes getan zu haben. Der Strafbefehl sei ihm während den Sommerferien am 9. Juli 2015 zugestellt worden. Erst da habe er die Firma, welche die IT-Infrastruktur der A.________ AG betreut, beauftragt, den E-Mail-Verkehr zwischen der A.________ AG und B.________ aus dem Jahr 2009 zugänglich zu machen. Diese Daten seien nach einer längeren Verzögerung geliefert worden.</w:t>
      </w:r>
    </w:p>
    <w:p>
      <w:r>
        <w:rPr>
          <w:b/>
        </w:rPr>
        <w:t>E. 2.4.2</w:t>
      </w:r>
    </w:p>
    <w:p>
      <w:r>
        <w:t>Damit begründet der Gesuchsteller nicht, weshalb er auf eine Einsprache gegen den Strafbefehl verzichtete, zumal die beschuldigte Person diese nicht begründen muss ( Art. 354 Abs. 2 StPO ). Er hätte sich im weiteren Strafbefehlsverfahren ( Art. 355 StPO ) und im Verfahren vor dem erstinstanzlichen Gericht ( Art. 356 StPO ) äussern können. Diesen versäumten ordentlichen Rechtsweg versucht der Gesuchsteller mit dem vorliegenden Revisionsgesuch zu umgehen. Darauf ist nicht einzutreten.</w:t>
      </w:r>
    </w:p>
    <w:p>
      <w:r>
        <w:rPr>
          <w:b/>
        </w:rPr>
        <w:t>E. 2.5</w:t>
      </w:r>
    </w:p>
    <w:p>
      <w:r>
        <w:t>Aus nachfolgenden Gründen wäre auf das Revisionsgesuch ohnehin nicht einzutreten gewesen.</w:t>
      </w:r>
    </w:p>
    <w:p>
      <w:r>
        <w:rPr>
          <w:b/>
        </w:rPr>
        <w:t>E. 2.5.1</w:t>
      </w:r>
    </w:p>
    <w:p>
      <w:r>
        <w:t>Der Gesuchsteller legt ein E-Mail ins Recht, das ihm B.________ am 19. Februar 2009 schickte. Darin schreibt B.________, ein Stundensatz von Fr. 160.-- sei "das höchste der Gefühle". Er wolle lieber ein fixes Kostendach für die Entwicklung einer Applikation ausmachen. Ausserdem möchte er auch noch etwas daran haben, sonst werde es uninteressant.</w:t>
      </w:r>
    </w:p>
    <w:p>
      <w:r>
        <w:t>Es ist nicht erkennbar, inwiefern diese Formulierung deutlich aufzeigen soll, dass der Gesuchsteller und B.________ die Provision und die Erhöhung des Stundensatzes nicht einvernehmlich vereinbart haben. Ebenso wenig ist ersichtlich, weshalb das E-Mail zeigen soll, dass der Gesuchsteller nicht wusste, dass B.________ keinen Anspruch auf Provisionen hatte. Schliesslich bleibt unerfindlich, weshalb das E-Mail klar und eindeutig zeigen soll, dass der Gesuchsteller den Stundensatz nicht ohne sachlichen Grund erhöht hat. Somit kann entgegen den Ausführungen des Gesuchstellers keine Rede davon sein, dass das E-Mail den Sachverhalt in einem ganz anderen Licht erscheinen lässt.</w:t>
      </w:r>
    </w:p>
    <w:p>
      <w:r>
        <w:rPr>
          <w:b/>
        </w:rPr>
        <w:t>E. 2.5.2</w:t>
      </w:r>
    </w:p>
    <w:p>
      <w:r>
        <w:t>Im Übrigen bringt der Gesuchsteller vor, er sei stets gutgläubig davon ausgegangen, dass B.________ als externer Berater privatrechtlich für das BAFU tätig gewesen sei und die Provisionen aus diesem Grund unproblematisch gewesen seien. Die Erhöhung des Stundensatzes stehe in keinem Zusammenhang mit den Provisionen. Die A.________ AG habe ihre Marge reduziert und sei von B.________ gezwungen worden, die Provisionen zu leisten.</w:t>
      </w:r>
    </w:p>
    <w:p>
      <w:r>
        <w:t>Damit übt der Gesuchsteller lediglich unbegründete Kritik an der Sachverhaltsfeststellung im Strafbefehl, ohne darzulegen, inwiefern neue, vor dem Entscheid eingetretene Tatsachen vorliegen, die geeignet sind, einen Freispruch oder eine wesentlich mildere Bestrafung herbeizuführen.</w:t>
      </w:r>
    </w:p>
    <w:p>
      <w:r>
        <w:rPr>
          <w:b/>
        </w:rPr>
        <w:t>E. 3</w:t>
      </w:r>
    </w:p>
    <w:p>
      <w:r>
        <w:t>Die Gerichtskosten sind dem Gesuchsteller aufzuerlegen ( Art. 66 Abs. 1 BGG ; vgl. auch Art. 428 Abs. 1 StPO i.V.m. Art. 119a Abs. 2 BGG analog).</w:t>
      </w:r>
    </w:p>
    <w:p>
      <w:r>
        <w:t>Mit dem Entscheid in der Sache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