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6B_77/2016 vom 5. Februar 2016</w:t>
      </w:r>
    </w:p>
    <w:p>
      <w:r>
        <w:t>Bundesgericht, 2016-02-05, DE</w:t>
      </w:r>
    </w:p>
    <w:p>
      <w:r>
        <w:rPr>
          <w:b/>
        </w:rPr>
        <w:t xml:space="preserve">Quelle: </w:t>
      </w:r>
      <w:r>
        <w:t>https://mcp.opencaselaw.ch/entscheid/bger_6B_77_2016</w:t>
      </w:r>
    </w:p>
    <w:p>
      <w:r>
        <w:t>FR: TF 6B_77/2016 du 5 février 2016</w:t>
      </w:r>
    </w:p>
    <w:p>
      <w:r>
        <w:t>IT: TF 6B_77/2016 del 5 febbraio 2016</w:t>
      </w:r>
    </w:p>
    <w:p>
      <w:pPr>
        <w:pStyle w:val="Heading2"/>
      </w:pPr>
      <w:r>
        <w:t>Erwägungen</w:t>
      </w:r>
    </w:p>
    <w:p>
      <w:r>
        <w:rPr>
          <w:b/>
        </w:rPr>
        <w:t>E. 1</w:t>
      </w:r>
    </w:p>
    <w:p>
      <w:r>
        <w:t>Der Beschwerdeführer wirft dem Geschäftsführer einer Gesellschaft, die im Rahmen eines Vermögensverwaltungsauftrages ein Konto bzw. Depot des Beschwerdeführers bei einer Bank betreute, ungetreue Geschäftsbesorgung vor. Am 9. Oktober 2015 nahm die Staatsanwaltschaft des Kantons Zug die Untersuchung nicht an die Hand. Eine dagegen gerichtete Beschwerde wies das Obergericht des Kantons Zug am 13. Januar 2016 ab.</w:t>
      </w:r>
    </w:p>
    <w:p>
      <w:r>
        <w:t>Der Beschwerdeführer wendet sich ans Bundesgericht und beantragt, das Urteil des Obergerichts vom 13. Januar 2016 sei aufzuheben und die Staatsanwaltschaft anzuweisen, ein Strafverfahren gegen den Geschäftsführer zu eröffnen.</w:t>
      </w:r>
    </w:p>
    <w:p>
      <w:r>
        <w:rPr>
          <w:b/>
        </w:rPr>
        <w:t>E. 2</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Zivilansprüche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Der Beschwerdeführer äussert sich vor Bundesgericht zur Frage der Legitimation und einer allfälligen Zivilforderung mit keinem Wort. Auch ist aufgrund der Vorwürfe nicht ohne Weiteres ersichtlich, um welche Zivilforderung es gehen könnte. Auf die Beschwerde ist mangels hinreichend dargetaner Legitimation des Beschwerdeführers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