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6B_777/2021 vom 30. Juli 2021</w:t>
      </w:r>
    </w:p>
    <w:p>
      <w:r>
        <w:t>Bundesgericht, 2021-07-30, FR</w:t>
      </w:r>
    </w:p>
    <w:p>
      <w:r>
        <w:rPr>
          <w:b/>
        </w:rPr>
        <w:t xml:space="preserve">Quelle: </w:t>
      </w:r>
      <w:r>
        <w:t>https://mcp.opencaselaw.ch/entscheid/bger_6B_777_2021</w:t>
      </w:r>
    </w:p>
    <w:p>
      <w:r>
        <w:t>FR: TF 6B_777/2021 du 30 juillet 2021</w:t>
      </w:r>
    </w:p>
    <w:p>
      <w:r>
        <w:t>IT: TF 6B_777/2021 del 30 luglio 2021</w:t>
      </w:r>
    </w:p>
    <w:p>
      <w:pPr>
        <w:pStyle w:val="Heading2"/>
      </w:pPr>
      <w:r>
        <w:t>Erwägungen</w:t>
      </w:r>
    </w:p>
    <w:p>
      <w:r>
        <w:rPr>
          <w:b/>
        </w:rPr>
        <w:t>E. 1</w:t>
      </w:r>
    </w:p>
    <w:p>
      <w:r>
        <w:t>Par jugement du 26 novembre 2020, le Tribunal correctionnel de la République et canton de Genève a condamné A.________ pour écoute et enregistrement de conversations entre d'autres personnes, enregistrement non autorisé de conversations, violation du domaine secret ou privé au moyen d'un appareil de prise de vues, lésions corporelles simples, lésions corporelles simples aggravées, menaces, contrainte, tentative de contrainte et voies de fait, à une peine privative de liberté de dix mois, sous déduction de 278 jours de détention avant jugement, ainsi qu'à une amende de 500 fr., l'exécution de la peine privative de liberté étant suspendue au profit d'un traitement institutionnel. Il l'a également condamné à payer, à B.________, 3'000 fr. à titre de réparation du tort moral et mis les frais de la procédure à sa charge.</w:t>
      </w:r>
    </w:p>
    <w:p>
      <w:r>
        <w:t>Par arrêt du 16 avril 2021, la Chambre pénale d'appel et de révision de la Cour de justice de la République et canton de Genève a rejeté l'appel formé par A.________ contre le jugement précité.</w:t>
      </w:r>
    </w:p>
    <w:p>
      <w:r>
        <w:t>A.________ forme un recours au Tribunal fédéral contre l'arrêt précité. Il requiert, par ailleurs, la désignation d'un avocat d'office.</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w:t>
      </w:r>
    </w:p>
    <w:p>
      <w:r>
        <w:t>En l'espèce, le recourant ne formule aucune conclusion. Il se contente de contester sa condamnation et ne présente aucune argumentation visant à démontrer en quoi la décision attaquée violerait le droit, si bien que son écriture ne répond pas aux exigences de motivation de l' art. 42 al. 1 LTF .</w:t>
      </w:r>
    </w:p>
    <w:p>
      <w:r>
        <w:rPr>
          <w:b/>
        </w:rPr>
        <w:t>E. 3</w:t>
      </w:r>
    </w:p>
    <w:p>
      <w:r>
        <w:t>Le recourant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(arrêts 6B_55/2021 du 25 février 2021 consid. 4; 6B_65/2021 du 19 février 2021 consid. 5; 6B_13/2015 du 11 février 2015 consid. 3 et les références citées), ce à quoi le recourant a été rendu attentif par deux courriers qui lui ont été adressés les 30 avril et 23 juin 2021. En l'espèce, le recourant ne paraît pas manifestement incapable de procéder au vu de ses écritures, si bien qu'il n'y a pas lieu de lui attribuer un défenseur au titre de l' art. 41 al. 1 LTF . En outre, la désignation d'un avocat d'office au sens de l' art. 64 al. 2 LTF suppose la réalisation de deux conditions cumulatives, soit l'impécuniosité du requérant et que le recours ne soit pas dénué de chances de succès (arrêts 6B_65/2021 précité consid. 5; 6B_1156/2020 du 2 novembre 2020 consid. 4; 6B_13/2015 précité consid. 3 et les références citées). Le respect du délai de recours non prolongeable ainsi que l'exigence d'un examen des chances de succès contraignent la partie recourante à déposer une écriture en bonne et due forme avant qu'il soit statué sur l'assistance judiciaire selon l' art. 64 LTF (arrêts 6B_65/2021 précité consid. 5; 6B_1207/2020 du 24 novembre 2020 consid. 4 et la référence citée). En l'occurrence, au vu du sort du recours, la demande de désignation d'un avocat d'office et d'assistance judiciaire doit être rejetée, faute de chance de succès.</w:t>
      </w:r>
    </w:p>
    <w:p>
      <w:r>
        <w:rPr>
          <w:b/>
        </w:rPr>
        <w:t>E. 4</w:t>
      </w:r>
    </w:p>
    <w:p>
      <w:r>
        <w:t>Faute de satisfaire aux conditions de recevabilité d'un recours en matière pénale au Tribunal fédéral (art. 42 al. 1 et 2 et 106 al. 2 LTF), le recours doit être écarté en application de l' art. 108 al. 1 let. a et b LTF . Le recourant, qui succombe, supporte les frais judiciaires, qui seront fixés en tenant compte de sa situation financière qui n'apparaît pas favorable (cf.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