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777/2020 vom 23. September 2020</w:t>
      </w:r>
    </w:p>
    <w:p>
      <w:r>
        <w:t>Bundesgericht, 2020-09-23, DE</w:t>
      </w:r>
    </w:p>
    <w:p>
      <w:r>
        <w:rPr>
          <w:b/>
        </w:rPr>
        <w:t xml:space="preserve">Quelle: </w:t>
      </w:r>
      <w:r>
        <w:t>https://mcp.opencaselaw.ch/entscheid/bger_6B_777_2020</w:t>
      </w:r>
    </w:p>
    <w:p>
      <w:r>
        <w:t>FR: TF 6B 777/2020 du 23 septembre 2020</w:t>
      </w:r>
    </w:p>
    <w:p>
      <w:r>
        <w:t>IT: TF 6B 777/2020 del 23 settembre 2020</w:t>
      </w:r>
    </w:p>
    <w:p>
      <w:pPr>
        <w:pStyle w:val="Heading2"/>
      </w:pPr>
      <w:r>
        <w:t>Regeste</w:t>
      </w:r>
    </w:p>
    <w:p>
      <w:r>
        <w:t>Grobe Verletzung der Verkehrsregeln; Willkür, rechtliches Gehör etc. | Straftaten</w:t>
      </w:r>
    </w:p>
    <w:p>
      <w:pPr>
        <w:pStyle w:val="Heading2"/>
      </w:pPr>
      <w:r>
        <w:t>Erwägungen</w:t>
      </w:r>
    </w:p>
    <w:p>
      <w:r>
        <w:rPr>
          <w:b/>
        </w:rPr>
        <w:t>E. 1.1</w:t>
      </w:r>
    </w:p>
    <w:p>
      <w:r>
        <w:t>Der Beschwerdeführer rügt eine Verletzung des Anklagegrundsatzes. Laut Anklageschrift habe er gebremst und das Fahrzeug nach rechts gesteuert, nicht aber, wie die Vorinstanz festgestellt habe, nach rechts gesteuert und das Fahrzeug gebremst. Eine zusätzliche Verletzung des Rechtsfahrgebots sei nicht angeklagt, sondern nur, dass er sich aufgrund der unangepassten Geschwindigkeit ausgangs der Kurve mit den linken Rädern auf der Mittellinie befunden habe. Der vorinstanzliche Vorwurf der Verletzung des Rechtsfahrgebots sei neu und unerwartet.</w:t>
      </w:r>
    </w:p>
    <w:p>
      <w:r>
        <w:rPr>
          <w:b/>
        </w:rPr>
        <w:t>E. 1.2</w:t>
      </w:r>
    </w:p>
    <w:p>
      <w:r>
        <w:t>Die Vorinstanz erwägt zur rechtlichen Würdigung des von ihr festgestellten Sachverhalts (vgl. Sachverhalt B. hiervor) im Wesentlichen, indem der Beschwerdeführer auf oder zu nahe an der Mittellinie gefahren sei, sei er seinen Vorsichtspflichten nicht nachgekommen. Infolge des daraus resultierenden, zu geringen Abstands zum entgegenkommenden Fahrzeug von C.________ - und nicht allein aufgrund der unangepassten Geschwindigkeit - sei der Beschwerdeführer erschrocken und habe nach rechts gelenkt und abgebremst, was schliesslich zum Kontrollverlust über das Fahrzeug und zum Unfall geführt habe. Entgegen seiner Auffassung sei ihm in erster Linie nicht seine Reaktion nach dem Schreckmoment vorzuhalten. Vielmehr sei ihm nebst der unangepassten Geschwindigkeit vorzuwerfen, dass er auf oder zu nahe an der Mittellinie und nicht möglichst weit rechts gefahren sei. Dies habe auch der Beschwerdeführer selbst als fehlerhaft beurteilt. Überdies gelte zu berücksichtigen, dass nicht die unangepasste Geschwindigkeit Ursache dafür sein könne, dass er auf oder zu nahe an der Mittellinie gefahren sei, denn infolge der Fliehkraft hätte es sein Fahrzeug wegen der Geschwindigkeit eher an den rechten Strassenrand gezogen als in die Mitte. Damit sei zusätzlich zur unangepassten Geschwindigkeit durch das Fahren auf oder zu nahe an der Mittellinie von einem weiteren Fehlverhalten im Sinne einer Nichtbeherrschung des Fahrzeugs auszugehen, die dazu geführt habe, dass der Beschwerdeführer ab dem entgegenkommenden Fahrzeug erschrocken sei und bedingt dadurch nach rechts gelenkt sowie abgebremst und schliesslich die Kontrolle über sein Fahrzeug verloren habe und verunfallt sei. Dies gelte umso mehr, als er die Strecke gekannt habe (angefochtener Entscheid, E. 3/d S. 19 f.).</w:t>
      </w:r>
    </w:p>
    <w:p>
      <w:r>
        <w:rPr>
          <w:b/>
        </w:rPr>
        <w:t>E. 1.3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6B_332/2019 vom 29. Oktober 2019 E. 1.1; je mit Hinweisen).</w:t>
      </w:r>
    </w:p>
    <w:p>
      <w:r>
        <w:rPr>
          <w:b/>
        </w:rPr>
        <w:t>E. 1.4</w:t>
      </w:r>
    </w:p>
    <w:p>
      <w:r>
        <w:t>Mit Anklageschrift vom 28. März 2019 legt die Staatsanwaltschaft Bischofszell dem Beschwerdeführer eine grobe Verletzung der Verkehrsregeln gemäss Art. 90 Abs. 2 SVG i.V.m. Art. 31 Abs. 1 SVG , Art. 32 Abs. 1 und 2 SVG , Art. 34 Abs. 1 SVG , Art. 4 Abs. 1 VRV sowie Art. 4a Abs. 1 lit. b VRV zur Last. Sie wirft ihm soweit vorliegend relevant vor, er habe die Linkskurve aufgrund seiner dem Strassenverlauf unangepassten Geschwindigkeit geschnitten, sodass er sich ausgangs der Kurve mit den linken Rädern seines Fahrzeugs noch immer auf der Mittellinie befunden habe, als ihm das von C.________ gelenkte Fahrzeug entgegen gekommen sei. Folglich habe der Beschwerdeführer C.________ gekreuzt, wobei er aufgrund des geringen seitlichen Abstands zu dessen Fahrzeug erschrocken sei, abgebremst und sein Fahrzeug nach rechts gesteuert habe. Infolgedessen sei er mit den rechten Rädern seines Fahrzeugs ins angrenzende Wiesland geraten und während ca. 19 Metern parallel zur Fahrbahn im Wiesland weitergefahren (vgl. kant. Akten, act. 8). Der Beschwerdeführer wusste, dass ihm unangemessene Geschwindigkeit und zudem vorgeworfen wird, er habe sich mit den linken Rädern seines Fahrzeugs auf der Mittellinie befunden. Dies ist der Anklageschrift ausdrücklich zu entnehmen. Auch erklärt die Anklageschrift mehrere Gesetzesbestimmungen für anwendbar, darunter Art. 32 SVG (Geschwindigkeit) und Art. 34 SVG (Rechtsfahrgebot). Entgegen dem Standpunkt des Beschwerdeführers ist angesichts der Anklageschrift nicht zu beanstanden, dass die Vorinstanz nebst der unangemessenen Geschwindigkeit ein zusätzliches Fehlverhalten darin erblickt, dass der Beschwerdeführer in der Linkskurve auf oder zu nahe an der Mittellinie fuhr. Inwiefern von Bedeutung sein soll, ob dieses zusätzliche Fehlverhalten auf die unangemessene Geschwindigkeit zurückzuführen ist, ist nicht ersichtlich. Dass die Position des Fahrzeugs in der Kurve ausschliesslich auf die Geschwindigkeitsüberschreitung zurückzuführen wäre, ist denn auch nicht nachvollziehbar. Und wie dargelegt war für den Beschwerdeführer klar, dass ihm nicht einzig unangemessene Geschwindigkeit, sondern ebenso zu geringer seitlicher Abstand zum links auf der Gegenfahrbahn entgegenkommenden Fahrzeug vorgeworfen wird. Somit konnte er seine Verteidigung bezüglich beider Vorwürfe ausreichend vorbereiten und der Anklagegrundsatz ist nicht verletzt. Daran ändert nichts, dass die Vorinstanz feststellte, dass der Beschwerdeführer nach rechts lenkte und abbremste. Aus dieser Feststellung und Formulierung resultiert keine feste chronologische Abfolge und der Beschwerdeführer legt ohnehin nicht dar, inwiefern eine solche entscheidwesentlich wäre.</w:t>
      </w:r>
    </w:p>
    <w:p>
      <w:r>
        <w:rPr>
          <w:b/>
        </w:rPr>
        <w:t>E. 2</w:t>
      </w:r>
    </w:p>
    <w:p>
      <w:r>
        <w:t>Die Beschwerde ist abzuweisen. Die Gerichtskosten sind ausgangsgemäss dem Beschwerdeführer aufzuerlegen ( Art. 66 Abs. 1 BGG ). Mit dem Entscheid in der Sache wird dessen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