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775/2017 vom 26. September 2017</w:t>
      </w:r>
    </w:p>
    <w:p>
      <w:r>
        <w:t>Bundesgericht, 2017-09-26, FR</w:t>
      </w:r>
    </w:p>
    <w:p>
      <w:r>
        <w:rPr>
          <w:b/>
        </w:rPr>
        <w:t xml:space="preserve">Quelle: </w:t>
      </w:r>
      <w:r>
        <w:t>https://mcp.opencaselaw.ch/entscheid/bger_6B_775_2017</w:t>
      </w:r>
    </w:p>
    <w:p>
      <w:r>
        <w:t>FR: TF 6B 775/2017 du 26 septembre 2017</w:t>
      </w:r>
    </w:p>
    <w:p>
      <w:r>
        <w:t>IT: TF 6B 775/2017 del 26 settembre 2017</w:t>
      </w:r>
    </w:p>
    <w:p>
      <w:pPr>
        <w:pStyle w:val="Heading2"/>
      </w:pPr>
      <w:r>
        <w:t>Regeste</w:t>
      </w:r>
    </w:p>
    <w:p>
      <w:r>
        <w:t>Irrecevabilité du recours en matière pénale, recours tardif | Droit pénal (en général)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contre une décision doit être déposé devant le Tribunal fédéral dans les trente jours qui suivent la notification de l'expédition complète ( art. 100 al. 1 LTF ). Les mémoires doivent être remis au plus tard le dernier jour du délai, soit au Tribunal fédéral soit, à l'attention de ce dernier, à La Poste Suisse ou à une représentation diplomatique ou consulaire suisse ( art. 48 al. 1 LTF ). En l'espèce, la recourante a reçu notification de l'arrêt attaqué le jeudi 18 mai 2017, de sorte qu'elle disposait d'un délai de recours contre celui-ci expirant le samedi 17 juin 2017, échéance reportée au premier jour ouvrable suivant (cf. art. 45 al. 1 LTF ), à savoir le lundi 19 juin 2017. Posté le 3 juillet 2017, le présent recours l'a été tardivement, de sorte qu'il est irrecevable. Il peut être écarté en application de la procédure simplifiée prévue à l' art. 108 al. 1 let. a LTF .</w:t>
      </w:r>
    </w:p>
    <w:p>
      <w:r>
        <w:rPr>
          <w:b/>
        </w:rPr>
        <w:t>E. 2</w:t>
      </w:r>
    </w:p>
    <w:p>
      <w:r>
        <w:t>La recourante, qui succombe, supporte les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