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773/2014 vom 29. August 2014</w:t>
      </w:r>
    </w:p>
    <w:p>
      <w:r>
        <w:t>Bundesgericht, 2014-08-29, FR</w:t>
      </w:r>
    </w:p>
    <w:p>
      <w:r>
        <w:rPr>
          <w:b/>
        </w:rPr>
        <w:t xml:space="preserve">Quelle: </w:t>
      </w:r>
      <w:r>
        <w:t>https://mcp.opencaselaw.ch/entscheid/bger_6B_773_2014</w:t>
      </w:r>
    </w:p>
    <w:p>
      <w:r>
        <w:t>FR: TF 6B 773/2014 du 29 août 2014</w:t>
      </w:r>
    </w:p>
    <w:p>
      <w:r>
        <w:t>IT: TF 6B 773/2014 del 29 agosto 2014</w:t>
      </w:r>
    </w:p>
    <w:p>
      <w:pPr>
        <w:pStyle w:val="Heading2"/>
      </w:pPr>
      <w:r>
        <w:t>Regeste</w:t>
      </w:r>
    </w:p>
    <w:p>
      <w:r>
        <w:t>Ordonnance de non-entrée en matière (dommage à la propriété), irrecevabilité du recours en matière pénale | Procédure pénale</w:t>
      </w:r>
    </w:p>
    <w:p>
      <w:pPr>
        <w:pStyle w:val="Heading2"/>
      </w:pPr>
      <w:r>
        <w:t>Erwägungen</w:t>
      </w:r>
    </w:p>
    <w:p>
      <w:r>
        <w:rPr>
          <w:b/>
        </w:rPr>
        <w:t>E. 1</w:t>
      </w:r>
    </w:p>
    <w:p>
      <w:r>
        <w:t>Par ordonnance du 23 juin 2014, la Chambre pénale du Tribunal cantonal valaisan a rejeté le recours interjeté par X.________ contre l'ordonnance de non-entrée en matière rendue par l'Office régional du Ministère public du Bas-Valais le 11 décembre 2013 sur la plainte pour dommage à la propriété dirigée contre Y.________. La prénommée recourt au Tribunal fédéral contre l'ordonnance du 23 juin 2014, demandant son annulation et le renvoi de la cause à l'autorité de deuxième instance cantonale.</w:t>
      </w:r>
    </w:p>
    <w:p>
      <w:r>
        <w:rPr>
          <w:b/>
        </w:rPr>
        <w:t>E. 2</w:t>
      </w:r>
    </w:p>
    <w:p>
      <w:r>
        <w:t>Le Tribunal fédéral examine librement et d'office les conditions de recevabilité des recours qui lui sont soumis ( ATF 138 I 367 consid. 1 p. 369).</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 ATF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w:t>
      </w:r>
    </w:p>
    <w:p>
      <w:r>
        <w:rPr>
          <w:b/>
        </w:rPr>
        <w:t>E. 2.2</w:t>
      </w:r>
    </w:p>
    <w:p>
      <w:r>
        <w:t>La recourante ne consacre aucun développement à la question des prétentions civiles dans son mémoire de recours au Tribunal fédéral. On ne saurait déduire du seul fait que la cause a trait à une atteinte à la propriété de la recourante, consistant en la perte d'un chien de compagnie, que l'intéressée aurait subi un dommage susceptible d'être chiffré en raison de la valeur marchande de l'animal. Ce point est, en effet, sans pertinence pour l'application de l' art. 144 CP ( BERNARD CORBOZ, Les principales infractions en droit suisse, 3e éd., 2010, art. 144 CP , n° 20). La recourante n'allègue pas non plus un éventuel préjudice moral dans son principe ou son importance. Or, l'allocation d'une indemnité pour tort moral fondée sur l' art. 49 al. 1 CO suppose que l'atteinte ait une certaine gravité objective et qu'elle ait été ressentie par la victime, subjectivement, comme une souffrance morale suffisamment forte pour qu'il apparaisse légitime qu'une personne, dans ces circonstances, s'adresse au juge pour obtenir réparation ( ATF 131 III 26 consid. 12.1 p. 29; arrêt 1B_648/2012 du 11 juillet 2013 consid. 1.2). L'absence de toute explication sur ces différents points exclut sa qualité pour recourir en application de l'art. 81 al. 1 let. b ch. 5 LTF. La recourante qui se borne à citer l'art. 81 al. 1 let. a et b ch. 1 LTF, n'invoque ni violation de son droit de porter plainte (art. 81 al. 1 let. b ch. 6), ni atteinte à ses droits de partie équivalant à un déni de justice formel. Faute de qualité pour recourir, le recours doit être déclaré irrecevable et écarté en application de l' art. 108 al. 1 let. a LTF .</w:t>
      </w:r>
    </w:p>
    <w:p>
      <w:r>
        <w:rPr>
          <w:b/>
        </w:rPr>
        <w:t>E. 3</w:t>
      </w:r>
    </w:p>
    <w:p>
      <w:r>
        <w:t>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