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6B_772/2011 vom 26. März 2012</w:t>
      </w:r>
    </w:p>
    <w:p>
      <w:r>
        <w:t>Bundesgericht, 2012-03-26, DE</w:t>
      </w:r>
    </w:p>
    <w:p>
      <w:r>
        <w:rPr>
          <w:b/>
        </w:rPr>
        <w:t xml:space="preserve">Quelle: </w:t>
      </w:r>
      <w:r>
        <w:t>https://mcp.opencaselaw.ch/entscheid/bger_6B_772_2011</w:t>
      </w:r>
    </w:p>
    <w:p>
      <w:r>
        <w:t>FR: TF 6B_772/2011 du 26 mars 2012</w:t>
      </w:r>
    </w:p>
    <w:p>
      <w:r>
        <w:t>IT: TF 6B_772/2011 del 26 marzo 2012</w:t>
      </w:r>
    </w:p>
    <w:p>
      <w:pPr>
        <w:pStyle w:val="Heading2"/>
      </w:pPr>
      <w:r>
        <w:t>Erwägungen</w:t>
      </w:r>
    </w:p>
    <w:p>
      <w:r>
        <w:rPr>
          <w:b/>
        </w:rPr>
        <w:t>E. 1.1</w:t>
      </w:r>
    </w:p>
    <w:p>
      <w:r>
        <w:t>Der Beschwerdeführer wendet sich gegen den Schuldspruch der Urkundenfälschung. Er rügt eine willkürliche Sachverhaltsfeststellung sowie eine Verletzung von Art. 251 Ziff. 1 StGB und seines Anspruchs auf rechtliches Gehör. Er habe die Quittung der D.________ GmbH mit Einverständnis des Ausstellers, E.________, mit dessen Namen unterzeichnet. Die Quittung sei ihm von diesem aus Gefälligkeit und mit Wissen um den Verwendungszweck überlassen worden. Er habe mithin keinen falschen Aussteller vorgespiegelt. Die Vorinstanz äussere sich nicht zur geltend gemachten Vertretungsmacht, obschon er im vorinstanzlichen Verfahren vorgebracht habe, die Quittung mit Einwilligung von E.________ unterschrieben zu haben. Ob dieser sein Einverständnis zur Unterschrift in seinem Namen gegeben habe, sei nicht festgestellt worden. Die Vorinstanz gehe stillschweigend und ohne E.________ rechtsgenügend einzuvernehmen davon aus, es liege keine Vertretungsmacht vor.</w:t>
      </w:r>
    </w:p>
    <w:p>
      <w:r>
        <w:rPr>
          <w:b/>
        </w:rPr>
        <w:t>E. 1.2.1</w:t>
      </w:r>
    </w:p>
    <w:p>
      <w:r>
        <w:t>Den Tatbestand der Urkundenfälschung nach Art. 251 Ziff. 1 StGB erfüllt,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Urkunden sind u.a. Schriften, die bestimmt und geeignet sind, eine Tatsache von rechtlicher Bedeutung zu beweisen ( Art. 110 Abs. 4 StGB ). Die Tatbestände des Urkundenstrafrechts schützen das Vertrauen, welches im Rechtsverkehr einer Urkunde als einem Beweismittel entgegengebracht wird ( BGE 137 IV 167 E. 2.3.1 mit Hinweisen).</w:t>
      </w:r>
    </w:p>
    <w:p>
      <w:r>
        <w:rPr>
          <w:b/>
        </w:rPr>
        <w:t>E. 1.2.2</w:t>
      </w:r>
    </w:p>
    <w:p>
      <w:r>
        <w:t>Die Urkundenfälschung im engeren Sinne erfasst das Herstellen einer unechten Urkunde. Eine Urkunde ist unecht, wenn deren wirklicher Urheber nicht mit dem aus ihr ersichtlichen Aussteller übereinstimmt bzw. wenn sie den Anschein erweckt, sie rühre von einem anderen als ihrem tatsächlichen Urheber her. Wirklicher Aussteller einer Urkunde ist derjenige, dem sie im Rechtsverkehr als von ihm autorisierte Erklärung zugerechnet wird. Dies ist gemäss der insoweit vorherrschenden sogenannten "Geistigkeitstheorie" derjenige, auf dessen Willen die Urkunde nach Existenz und Inhalt zurückgeht ( BGE 137 IV 167 E. 2.3.1 mit Hinweisen).</w:t>
      </w:r>
    </w:p>
    <w:p>
      <w:r>
        <w:rPr>
          <w:b/>
        </w:rPr>
        <w:t>E. 1.2.3</w:t>
      </w:r>
    </w:p>
    <w:p>
      <w:r>
        <w:t>Bei Vertretungsverhältnissen ist wirklicher Aussteller der Urkunde der Vertretene, welcher den Vertreter zu der in der Urkunde enthaltenen Erklärung ermächtigt. Dies gilt zum einen bei der offenen Stellvertretung, bei welcher der Beauftragte mit seinem eigenen Namen, allenfalls mit einem das Auftragsverhältnis hervorhebenden Zusatz ("i.A.", "i.V." etc.), die vom Auftraggeber nach Existenz und Inhalt gewollte Urkunde unterzeichnet. Es gilt grundsätzlich aber auch bei der sogenannten verdeckten Stellvertretung, bei welcher der Vertreter die vom Vertretenen nach Existenz und Inhalt gewollte Urkunde mit dessen Einverständnis mit dem Namen des Vertretenen unterzeichnet und ein Hinweis auf das tatsächlich bestehende Vertretungsverhältnis fehlt. Die vom Vertreter im Einverständnis des Vertretenen mit dem Namen des Letzteren unterzeichnete Erklärung, die der Vertretene nach Existenz und Inhalt gewollt hat, ist somit, auch wenn das Vertretungsverhältnis nicht erkennbar und damit verdeckt ist, grundsätzlich echt, da der aus der Urkunde ersichtliche Aussteller, d.h. der Vertretene, mit dem gemäss der "Geistigkeitstheorie" wirklichen Aussteller, auf dessen Willen die Urkunde nach Existenz und Inhalt zurückgeht, identisch ist ( BGE 132 IV 57 E. 5.1.2; 128 IV 265 E. 1.1.2 mit Hinweisen). Vorbehalten bleiben die Fälle der eigenhändigen Urkunden ( BGE 128 IV 265 E. 1.1.3; Urteil 6S.276/2004 vom 16. Februar 2005 E. 3, publ. in: ZBGR 87/2006 S. 215).</w:t>
      </w:r>
    </w:p>
    <w:p>
      <w:r>
        <w:rPr>
          <w:b/>
        </w:rPr>
        <w:t>E. 1.2.4</w:t>
      </w:r>
    </w:p>
    <w:p>
      <w:r>
        <w:t>Als Tatbestandsalternative des Fälschens im Sinne des Herstellens einer unechten Urkunde nennt Art. 251 Ziff. 1 StGB auch das Verfälschen. Dieses liegt im eigenmächtigen Abändern einer von einem Anderen hergestellten Urkunde, wodurch der Anschein entsteht, der ursprüngliche Aussteller habe der Urkunde den neuen Inhalt gegeben. Aussteller der abgeänderten Urkunde und der aus ihr selbst ersichtliche Aussteller stimmen nicht überein. Die Urkunde ist auch bei dieser Handlungsvariante eine unechte (Urteile 6S.376/2001 vom 13. November 2001 E. 2b; 6S.781/1998 vom 22. Januar 1999 E. 3b; je mit Hinweisen).</w:t>
      </w:r>
    </w:p>
    <w:p>
      <w:r>
        <w:rPr>
          <w:b/>
        </w:rPr>
        <w:t>E. 1.2.5</w:t>
      </w:r>
    </w:p>
    <w:p>
      <w:r>
        <w:t>Demgegenüber betrifft die Falschbeurkundung die Errichtung einer echten, aber unwahren Urkunde, bei der der wirkliche und der in der Urkunde enthaltene Sachverhalt nicht übereinstimmen. Die Falschbeurkundung erfordert eine qualifizierte schriftliche Lüge. Eine solche wird nur angenommen, wenn der Urkunde eine erhöhte Glaubwürdigkeit zukommt und der Adressat ihr daher ein besonderes Vertrauen entgegenbringt. Das ist der Fall, wenn allgemeingültige objektive Garantien die Wahrheit der Erklärung gegenüber Dritten gewährleisten,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 BGE 132 IV 12 E. 8.1; 131 IV 125 E. 4.1; 129 IV 130 E. 2.1; je mit Hinweisen).</w:t>
      </w:r>
    </w:p>
    <w:p>
      <w:r>
        <w:rPr>
          <w:b/>
        </w:rPr>
        <w:t>E. 1.3</w:t>
      </w:r>
    </w:p>
    <w:p>
      <w:r>
        <w:t>Verwendet der Täter für einen Betrug gefälschte Urkunden, besteht zwischen Art. 251 und Art. 146 StGB echte Konkurrenz ( BGE 122 I 257 E. 6a mit Hinweisen). Dies gilt auch, wenn das Urkundendelikt - als Vortat - alleine im Hinblick auf das Vermögensdelikt begangen wurde (Urteil 6S.597/2001 vom 13. Dezember 2002 E. 4.3 und 4.4 mit zahlreichen Hinweisen).</w:t>
      </w:r>
    </w:p>
    <w:p>
      <w:r>
        <w:rPr>
          <w:b/>
        </w:rPr>
        <w:t>E. 2.1</w:t>
      </w:r>
    </w:p>
    <w:p>
      <w:r>
        <w:t>Dem Beschwerdeführer wurde von der Anklage vorgeworfen, er habe die Quittung mit Hilfe von ihm zur Verfügung stehenden Originalpapieren auf einem Fotokopierer selbst hergestellt (Anklageschrift S. 8). Die Vorinstanz führt dazu unter Hinweis auf das erstinstanzliche Urteil aus, die Aussagen von E.________ zur Frage, wer die fragliche Quittung erstellt habe, seien gegen den Beschwerdeführer nicht verwertbar, da es nie zu einer Konfrontationseinvernahme mit diesem gekommen sei (Urteil E. 2.4 S. 18; erstinstanzliches Urteil S. 35). Sie lässt daher offen, wer die Quittung erstellte bzw. geht in dubio pro reo davon aus, diese sei wie vom Beschwerdeführer behauptet tatsächlich von E.________ verfasst worden. Sie behaftet den Beschwerdeführer jedoch auf seiner Aussage, er habe das Schreiben eigenhändig mit der falschen Unterschrift von E.________ versehen.</w:t>
      </w:r>
    </w:p>
    <w:p>
      <w:r>
        <w:rPr>
          <w:b/>
        </w:rPr>
        <w:t>E. 2.2</w:t>
      </w:r>
    </w:p>
    <w:p>
      <w:r>
        <w:t>Bei der Quittung handelt es sich nicht um eine sogenannte eigenhändige Urkunde. Eine Urkundenfälschung im Sinne des Herstellens einer unechten Urkunde scheidet daher aus, wenn der Beschwerdeführer die Quittung als Vertreter von E.________ unterschrieben hätte (oben E. 1.2.3). Die Vorinstanz geht davon aus, dies sei nicht der Fall gewesen.</w:t>
      </w:r>
    </w:p>
    <w:p>
      <w:r>
        <w:rPr>
          <w:b/>
        </w:rPr>
        <w:t>E. 2.3.1</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w:t>
      </w:r>
    </w:p>
    <w:p>
      <w:r>
        <w:t>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137 I 1 E. 2.4 ; 134 I 140 E. 5.4; je mit Hinweisen). Die Rüge der Willkür muss präzise vorgebracht und begründet werden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136 II 489 E. 2.8; je mit Hinweisen).</w:t>
      </w:r>
    </w:p>
    <w:p>
      <w:r>
        <w:rPr>
          <w:b/>
        </w:rPr>
        <w:t>E. 2.3.2</w:t>
      </w:r>
    </w:p>
    <w:p>
      <w:r>
        <w:t>Das Urteil des Bezirksgerichts Zürich vom 13. Oktober 2010 erging vor Inkrafttreten der Schweizerischen Strafprozessordnung (StPO; SR 312.0) am 1. Januar 2011. Das kantonale Verfahren richtet sich daher weiterhin nach der Strafprozessordnung des Kantons Zürich vom 4. Mai 1919 (vgl. Art. 453 f. StPO; BGE 137 IV 145 E. 1.1 mit Hinweisen).</w:t>
      </w:r>
    </w:p>
    <w:p>
      <w:r>
        <w:rPr>
          <w:b/>
        </w:rPr>
        <w:t>E. 2.3.3</w:t>
      </w:r>
    </w:p>
    <w:p>
      <w:r>
        <w:t>Das Recht, Belastungs- und Entlastungszeugen zu befragen, untersteht dem vorliegend noch anwendbaren kantonalen Verfahrensrecht. Entsprechende Gesuche um Zeugenbefragung sind den Behörden formgerecht einzureichen. Der Beschuldigte kann den Behörden grundsätzlich nicht vorwerfen, gewisse Zeugen nicht vorgeladen zu haben, wenn er es unterlässt, rechtzeitig und formgerecht die entsprechenden Beweisanträge zu stellen ( BGE 131 I 476 E. 2.1 ; 125 I 127 E. 6c/bb mit Hinweisen).</w:t>
      </w:r>
    </w:p>
    <w:p>
      <w:r>
        <w:t>Neue Tatsachen und Beweismittel dürfen vor Bundesgericht nur so weit vorgebracht werden, als erst der Entscheid der Vorinstanz dazu Anlass gibt ( Art. 99 Abs. 1 BGG ).</w:t>
      </w:r>
    </w:p>
    <w:p>
      <w:r>
        <w:rPr>
          <w:b/>
        </w:rPr>
        <w:t>E. 2.4.1</w:t>
      </w:r>
    </w:p>
    <w:p>
      <w:r>
        <w:t>Der Beschwerdeführer machte im kantonalen Verfahren geltend, er habe die Quittung mit dem Einverständnis des Ausstellers, E.________, und dessen Namen unterzeichnet. Dieser habe ihm die Quittung aus Gefälligkeit und mit Wissen um den Verwendungszweck überlassen (kant. Akten, Urk. 98 S. 12 f.). Unter welchen Umständen und in welcher Form er von diesem ermächtigt worden sein soll, die Quittung in seinem Namen zu unterschreiben, legte er jedoch nicht dar, sondern begnügte sich mit der pauschalen Behauptung, er habe mit dem Einverständnis von E.________ gehandelt. Entsprechende Ausführungen unterblieben auch im bundesgerichtlichen Verfahren.</w:t>
      </w:r>
    </w:p>
    <w:p>
      <w:r>
        <w:rPr>
          <w:b/>
        </w:rPr>
        <w:t>E. 2.4.2</w:t>
      </w:r>
    </w:p>
    <w:p>
      <w:r>
        <w:t>Die verdeckte Stellvertretung bzw. die Zulässigkeit des Zeichnens mit fremdem Namen setzt u.a. voraus, dass sich der Namensträger vertreten lassen will, d.h. den Vertreter zur Abgabe klar bestimmter Erklärungen vorgängig ermächtigt hat, und dass die Vertretung rechtlich zulässig ist (MARKUS BOOG, Basler Kommentar, Strafrecht II, 2. Aufl. 2007, N. 19a zu Art. 251 StGB mit Hinweisen). Verlangt wird eine tatsächliche Ermächtigung zum Unterzeichnen mit dem Namen des Vertretenen. Die bloss mutmassliche Ermächtigung genügt nicht. Ahmt der Täter die Unterschrift einer abwesenden Person ohne deren Ermächtigung nach, entsteht objektiv eine unechte Urkunde, auch wenn diese mit dem Inhalt der Erklärung einverstanden war und diese selbst auch unterschrieben hätte. Die nachträgliche Genehmigung der Erklärung durch den Anscheinsaussteller beseitigt die Unechtheit nicht rückwirkend (zum Ganzen MARKUS BOOG, a.a.O., N. 19b zu Art. 251 StGB mit Hinweisen).</w:t>
      </w:r>
    </w:p>
    <w:p>
      <w:r>
        <w:rPr>
          <w:b/>
        </w:rPr>
        <w:t>E. 2.4.3</w:t>
      </w:r>
    </w:p>
    <w:p>
      <w:r>
        <w:t>Das bloss mutmassliche Einverständnis von E.________ ermächtigte den Beschwerdeführer nicht, das Schriftstück mit dessen Unterschrift zu versehen. Erforderlich war eine tatsächliche Ermächtigung. Insbesondere kann es auch nicht genügen, dass E.________ ihm die Quittung aus Gefälligkeit und im Wissen um den Verwendungszweck, d.h. die damit beabsichtigte Täuschung Dritter, übergeben haben soll. Daraus kann nicht geschlossen werden, er sei ermächtigt worden, das Schriftstück zwecks Täuschung zusätzlich mit der falschen Unterschrift zu versehen. Davon scheint der Beschwerdeführer jedoch auszugehen, da er nicht erläutert, wie es zur Stellvertretung gekommen sein soll, sondern ausschliesslich auf den Gefälligkeitszweck der Quittung verweist.</w:t>
      </w:r>
    </w:p>
    <w:p>
      <w:r>
        <w:rPr>
          <w:b/>
        </w:rPr>
        <w:t>E. 2.5</w:t>
      </w:r>
    </w:p>
    <w:p>
      <w:r>
        <w:t>Der Beschwerdeführer unterliess es schliesslich, die Zeugenbefragung von E.________ zu beantragen (vgl. kant. Akten, Urk. 87). Dies wohl bewusst, nachdem E.________ gegenüber der Polizei zum Ausdruck gebracht hatte, bei der Quittung als solches handle es sich um eine Fälschung (kant. Akten, ND 1 Urk. 2/1 S. 7). Der Beschwerdeführer kann der Vorinstanz nicht zum Vorwurf machen, dass sie diesen nicht von Amtes wegen einvernahm.</w:t>
      </w:r>
    </w:p>
    <w:p>
      <w:r>
        <w:t>Die vorinstanzliche Sachverhaltsfeststellung ist nicht willkürlich.</w:t>
      </w:r>
    </w:p>
    <w:p>
      <w:r>
        <w:rPr>
          <w:b/>
        </w:rPr>
        <w:t>E. 3</w:t>
      </w:r>
    </w:p>
    <w:p>
      <w:r>
        <w:t>Dass sein Verhalten - ausgehend von der vorinstanzlichen Sachverhaltsfeststellung - nicht unter den Tatbestand der Urkundenfälschung im Sinne von Art. 251 Ziff. 1 Abs. 2 StGB fällt, macht der Beschwerdeführer nicht geltend. Ob dieser durch das Hinzufügen der Unterschrift eine Urkunde fälschte, da der wirkliche Urheber der Quittung nicht mit dem aus ihr ersichtlichen Aussteller übereinstimmte, oder ob vielmehr von der Tatbestandsalternative des Verfälschens einer Urkunde (oben E. 1.2.4) auszugehen ist, kann offenbleiben.</w:t>
      </w:r>
    </w:p>
    <w:p>
      <w:r>
        <w:rPr>
          <w:b/>
        </w:rPr>
        <w:t>E. 4</w:t>
      </w:r>
    </w:p>
    <w:p>
      <w:r>
        <w:t>Der Beschwerdeführer beanstandet die Strafzumessung (Beschwerde S. 15 f.).</w:t>
      </w:r>
    </w:p>
    <w:p>
      <w:r>
        <w:rPr>
          <w:b/>
        </w:rPr>
        <w:t>E. 4.1</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w:t>
      </w:r>
    </w:p>
    <w:p>
      <w:r>
        <w:t>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w:t>
      </w:r>
    </w:p>
    <w:p>
      <w:r>
        <w:rPr>
          <w:b/>
        </w:rPr>
        <w:t>E. 4.2</w:t>
      </w:r>
    </w:p>
    <w:p>
      <w:r>
        <w:t>Die Vorinstanz setzt sich in ihren Erwägungen zur Strafzumessung mit den wesentlichen schuldrelevanten Komponenten auseinander und würdigt diese zutreffend. Dass sie sich dabei von rechtlich nicht massgeblichen Gesichtspunkten hätte leiten lassen oder wesentliche Aspekte nicht berücksichtigt hätte, ist nicht ersichtlich.</w:t>
      </w:r>
    </w:p>
    <w:p>
      <w:r>
        <w:rPr>
          <w:b/>
        </w:rPr>
        <w:t>E. 4.3</w:t>
      </w:r>
    </w:p>
    <w:p>
      <w:r>
        <w:t>Soweit der Beschwerdeführer die beantragte Strafreduktion mit dem Freispruch vom Vorwurf der Urkundenfälschung begründet, ist auf die Rüge nicht weiter einzugehen, da die Beschwerde in diesem Punkt abzuweisen ist (oben E. 2 und 3).</w:t>
      </w:r>
    </w:p>
    <w:p>
      <w:r>
        <w:rPr>
          <w:b/>
        </w:rPr>
        <w:t>E. 4.4.1</w:t>
      </w:r>
    </w:p>
    <w:p>
      <w:r>
        <w:t>Der Beschwerdeführer bringt vor, er sei seit dem 11. November 2011 verheiratet. Seine Ehefrau sei schwanger. Zu berücksichtigen sei zudem, dass er seit fünf Jahren keine Probleme mehr gemacht habe. Er habe inzwischen auch zwei Arbeitsstellen, um seine Schulden zurückzubezahlen. Er kümmere sich ernsthaft darum, seine Vergangenheit hinter sich zu lassen.</w:t>
      </w:r>
    </w:p>
    <w:p>
      <w:r>
        <w:rPr>
          <w:b/>
        </w:rPr>
        <w:t>E. 4.4.2</w:t>
      </w:r>
    </w:p>
    <w:p>
      <w:r>
        <w:t>Neue Tatsachen dürfen im Verfahren vor dem Bundesgericht nur so weit vorgebracht werden, als erst der Entscheid der Vorinstanz dazu Anlass gibt ( Art. 99 Abs. 1 BGG ). Als Noven im Sinne von Art. 99 Abs. 1 BGG kommen nur neue Tatsachen in Betracht, welche bereits beim vorinstanzlichen Entscheid Bestand hatten und nicht vorgebracht wurden. Tatsachen, die erst nach dem Entscheid der Vorinstanz eingetreten sind, fallen nicht unter diese Bestimmung (vgl. BGE 134 IV 97 E. 5.1.3 mit Hinweis). Nicht zu hören ist der Beschwerdeführer daher, soweit er sich auf seine neuen familiären Verhältnisse und die zwei Arbeitsstellen beruft.</w:t>
      </w:r>
    </w:p>
    <w:p>
      <w:r>
        <w:rPr>
          <w:b/>
        </w:rPr>
        <w:t>E. 4.4.3</w:t>
      </w:r>
    </w:p>
    <w:p>
      <w:r>
        <w:t>Die Straffreiheit während des hängigen Verfahrens ist, wie auch die Vorstrafenlosigkeit ( BGE 136 IV 1 E. 2.6), nach der Rechtsprechung grundsätzlich nicht strafmindernd zu werten (Urteile 6B_572/2010 vom 18. November 2010 E. 4.4; 6B_87/2010 vom 17. Mai 2010 E. 5.4; je mit Hinweisen). Dass sich der Beschwerdeführer in den letzten Jahren nichts mehr zuschulden kommen liess, wirkt sich neutral aus und führt nicht zu einer Strafminderung.</w:t>
      </w:r>
    </w:p>
    <w:p>
      <w:r>
        <w:rPr>
          <w:b/>
        </w:rPr>
        <w:t>E. 5</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