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6B_771/2007 vom 26. Juni 2006</w:t>
      </w:r>
    </w:p>
    <w:p>
      <w:r>
        <w:t>Bundesgericht, 2006-06-26, FR</w:t>
      </w:r>
    </w:p>
    <w:p>
      <w:r>
        <w:rPr>
          <w:b/>
        </w:rPr>
        <w:t xml:space="preserve">Quelle: </w:t>
      </w:r>
      <w:r>
        <w:t>https://mcp.opencaselaw.ch/entscheid/bger_6B_771_2007</w:t>
      </w:r>
    </w:p>
    <w:p>
      <w:r>
        <w:t>FR: TF 6B_771/2007 du 26 juin 2006</w:t>
      </w:r>
    </w:p>
    <w:p>
      <w:r>
        <w:t>IT: TF 6B_771/2007 del 26 giugno 2006</w:t>
      </w:r>
    </w:p>
    <w:p>
      <w:pPr>
        <w:pStyle w:val="Heading2"/>
      </w:pPr>
      <w:r>
        <w:t>Erwägungen</w:t>
      </w:r>
    </w:p>
    <w:p>
      <w:r>
        <w:rPr>
          <w:b/>
        </w:rPr>
        <w:t>E. 1</w:t>
      </w:r>
    </w:p>
    <w:p>
      <w:r>
        <w:t>L'arrêt attaqué peut faire l'objet d'un recours en matière pénale (art. 78 al. 1 et 80 al. 1 LTF), que le recourant qui conteste la sanction infligée est habilité à former (art. 81 al. 1 let. a et let. b ch. 3 LTF).</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3</w:t>
      </w:r>
    </w:p>
    <w:p>
      <w:r>
        <w:t>Le recourant ne remet pas en question l'application du nouveau droit que la cour cantonale a considéré comme plus favorable ( art. 2 al. 2 CP ). Il conteste en revanche la quotité de la peine infligée à X.________ au regard de l' art. 47 CP dans sa teneur en vigueur depuis le 1er janvier 2007.</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Le législateur reprend, à l'al. 1, les critères des antécédents et de la situation personnelle, et y ajoute la nécessité de prendre en considération l'effet de la peine sur l'avenir du condamné. Codifiant la jurisprudence, l'al. 2 de l' art.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w:t>
      </w:r>
    </w:p>
    <w:p>
      <w:r>
        <w:t>Comme l'ancien art. 63 CP , l'art. 47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3.2</w:t>
      </w:r>
    </w:p>
    <w:p>
      <w:r>
        <w:t>En l'espèce, la cour cantonale a fixé une peine de trente mois de privation de liberté.</w:t>
      </w:r>
    </w:p>
    <w:p>
      <w:r>
        <w:rPr>
          <w:b/>
        </w:rPr>
        <w:t>E. 3.2.1</w:t>
      </w:r>
    </w:p>
    <w:p>
      <w:r>
        <w:t>L' art. 190 ch. 1 CP réprime le viol d'une peine privative de liberté de un à dix ans. Une peine telle que celle prononcée en l'espèce demeure ainsi, quant à sa durée, dans le premier quart de l'échelle des sanctions entrant en considération, même sans tenir compte des questions de concours ( art. 49 al. 1 CP ), et ne pourrait se justifier que par une culpabilité modérée ou tout au plus moyenne de l'auteur.</w:t>
      </w:r>
    </w:p>
    <w:p>
      <w:r>
        <w:t>La cour cantonale a cependant qualifié la culpabilité de l'intimé de « grave » (arrêt entrepris, consid. 7d, p. 34), ce qui suggère le reproche d'une faute ne correspondant plus à une culpabilité modérée ou moyenne de l'auteur.</w:t>
      </w:r>
    </w:p>
    <w:p>
      <w:r>
        <w:rPr>
          <w:b/>
        </w:rPr>
        <w:t>E. 3.2.2</w:t>
      </w:r>
    </w:p>
    <w:p>
      <w:r>
        <w:t>La cour cantonale a motivé son appréciation de la culpabilité de l'intimé en relevant, en plus de la différence d'âge avec ses victimes, que pour assouvir ses pulsions sexuelles, l'accusé n'avait pas hésité à s'en prendre à une jeune fille particulièrement vulnérable et avait profité de la confiance et de la fragilité de sa victime, déjà abusée à l'âge de six ans par son grand-père, puis traumatisée à la suite d'une interruption de grossesse et confrontée à un climat de violence domestique depuis le décès de son père. L'accusé avait commis à quelques semaines d'écart, deux viols, auxquels s'ajoutaient un baiser lingual donné à une autre jeune fille.</w:t>
      </w:r>
    </w:p>
    <w:p>
      <w:r>
        <w:t>Ces éléments, qui soulignent, outre l'existence d'une grave lésion de l'intégrité sexuelle de la victime de viol, le caractère hautement répréhensible de l'acte eu égard à la situation de la victime connue de l'accusé, dénotent une culpabilité importante, compte tenu également de la répétition du comportement de l'intimé, à qui deux viols sont reprochés en plus d'un acte d'ordre sexuel sur une mineure. Aussi, seule une diminution de sa responsabilité (cf. art. 19 al. 2 CP ) ou encore l'existence de circonstances atténuantes au sens de l' art. 48 CP auraient pu justifier la peine infligée. La cour cantonale a cependant constaté que la responsabilité de l'intimé, qui ne bénéficiait d'aucune circonstance atténuante, mais remplissait au contraire les conditions de la circonstance aggravante du concours ( art. 49 CP ), était entière (arrêt entrepris, consid. 7d, p. 34), en soulignant encore l'absence de regrets ainsi que le manque particulier de scrupules de l'accusé qui avait tenté de mauvaise foi de reporter sa faute sur la victime des viols, envers laquelle il avait manifesté du mépris.</w:t>
      </w:r>
    </w:p>
    <w:p>
      <w:r>
        <w:rPr>
          <w:b/>
        </w:rPr>
        <w:t>E. 3.2.3</w:t>
      </w:r>
    </w:p>
    <w:p>
      <w:r>
        <w:t>Dans ces conditions, et compte tenu de la gravité de la faute de l'intimé, une peine de trente mois de privation de liberté, encore compatible avec le sursis partiel, n'entrait absolument plus en ligne de compte pour sanctionner deux viols et un acte d'ordre sexuel au sens de l' art. 187 CP , à titre complémentaire de la peine de trois semaines d'emprisonnement avec sursis prononcée pour abus de confiance le 18 novembre 2002 (arrêt entrepris, consid. 2a/bb, p. 6). La cour de céans, même si elle n'examine qu'avec retenue la fixation de la peine, ne peut dès lors que constater que la cour cantonale a, en l'espèce, abusé de son pouvoir d'appréciation en prononçant une peine sans rapport avec la culpabilité réelle de l'intéressé. Le grief de violation de l' art. 47 CP est bien fondé, ce qui entraîne l'annulation de l'arrêt entrepris et le renvoi de la cause à la cour cantonale afin qu'elle statue à nouveau, sans qu'il soit nécessaire d'examiner les griefs du recourant relatifs à la question du sursis.</w:t>
      </w:r>
    </w:p>
    <w:p>
      <w:r>
        <w:rPr>
          <w:b/>
        </w:rPr>
        <w:t>E. 4</w:t>
      </w:r>
    </w:p>
    <w:p>
      <w:r>
        <w:t>Le recours est admis. L'intimé, qui succombe, supporte les frais de la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