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76/2018 vom 15. Oktober 2018</w:t>
      </w:r>
    </w:p>
    <w:p>
      <w:r>
        <w:t>Bundesgericht, 2018-10-15, DE</w:t>
      </w:r>
    </w:p>
    <w:p>
      <w:r>
        <w:rPr>
          <w:b/>
        </w:rPr>
        <w:t xml:space="preserve">Quelle: </w:t>
      </w:r>
      <w:r>
        <w:t>https://mcp.opencaselaw.ch/entscheid/bger_6B_76_2018</w:t>
      </w:r>
    </w:p>
    <w:p>
      <w:r>
        <w:t>FR: TF 6B 76/2018 du 15 octobre 2018</w:t>
      </w:r>
    </w:p>
    <w:p>
      <w:r>
        <w:t>IT: TF 6B 76/2018 del 15 ottobre 2018</w:t>
      </w:r>
    </w:p>
    <w:p>
      <w:pPr>
        <w:pStyle w:val="Heading2"/>
      </w:pPr>
      <w:r>
        <w:t>Regeste</w:t>
      </w:r>
    </w:p>
    <w:p>
      <w:r>
        <w:t>Raufhandel, einfache Körperverletzung mit einem gefährlichen Gegenstand | Straftaten</w:t>
      </w:r>
    </w:p>
    <w:p>
      <w:pPr>
        <w:pStyle w:val="Heading2"/>
      </w:pPr>
      <w:r>
        <w:t>Erwägungen</w:t>
      </w:r>
    </w:p>
    <w:p>
      <w:r>
        <w:rPr>
          <w:b/>
        </w:rPr>
        <w:t>E. 1</w:t>
      </w:r>
    </w:p>
    <w:p>
      <w:r>
        <w:t>Der Beschwerdeführer bringt vor, die Vorinstanz stütze sich beim Schuldspruch wegen einfacher Körperverletzung mit einem gefährlichen Gegenstand auf die Aussagen von C.________ anlässlich der staatsanwaltschaftlichen Einvernahme vom 21. Oktober 2013. In diesem Rahmen habe C.________ noch erklärt, dass der Beschwerdeführer mit einer Pistole auf den Kopf von B.________ geschlagen habe. Anlässlich der Berufungsverhandlung vom 29. Mai 2015 habe C.________ verneint, eine Waffe gesehen zu haben. Der Beschwerdeführer rügt, dass die Einvernahme vom 21. Oktober 2013 infolge Verletzung des Konfrontationsrechts nicht verwertbar sei. Dieser Mangel sei auch nicht durch die spätere Befragung im Rahmen der Berufungsverhandlung geheilt worden, zumal C.________ seine frühere Darstellung nicht bestätigt habe. Das Konfrontationsrecht wurde dem Beschwerdeführer nicht bei der ersten, sondern nur bei der zweiten Befragung von C.________ gewährt. Die Vorinstanz erachtet die erste Befragung als verwertbar. Sie stützt sich dabei auf das Urteil des Bundesgerichts 1P.102/2006 vom 26. Juni 2006 E. 3.5, welches vor dem Inkrafttreten der Schweizerischen Strafprozessordnung am 1. Januar 2011 erging. Nach der neueren Rechtsprechung sind aber in einem solchen Fall die in der ersten Einvernahme gemachten Aussagen gemäss Art. 147 Abs. 4 StPO unverwertbar, wenn diese nicht im Rahmen einer späteren Konfrontation ausdrücklich wiederholt werden ( BGE 143 IV 457 E. 1.6; Urteile 6B_321/2017 vom 8. März 2018 E. 1.5.2 und 6B_1035/2017 vom 20. Juni 2018 E. 1.3.3). Eine solche Wiederholung unterblieb vorliegend, womit die Vorinstanz nicht auf die Aussagen von C.________ vom 21. Oktober 2013 abstellen durfte.</w:t>
      </w:r>
    </w:p>
    <w:p>
      <w:r>
        <w:rPr>
          <w:b/>
        </w:rPr>
        <w:t>E. 2</w:t>
      </w:r>
    </w:p>
    <w:p>
      <w:r>
        <w:t>Der Beschwerdeführer rügt eine willkürliche Sachverhaltsfeststellung in Bezug auf den Schuldspruch wegen Raufhandels. Er macht geltend, er habe sich lediglich gegen einen unrechtmässigen und gefährlichen Angriff von A.________ verteidigt. Die Vorinstanz erwägt, es sei ausgeschlossen, dass der Beschwerdeführer nur abgewehrt oder geschlichtet habe. Dies ergebe sich bereits daraus, dass er mit B.________ einen Kontrahenten niedergeschlagen habe, von dem er nicht einmal behaupte, angegriffen worden zu sein (Urteil, S. 13 f.). Bei der Feststellung, wonach der Beschwerdeführer B.________ niedergeschlagen haben soll, stützt sich die Vorinstanz auf die unverwertbaren Aussagen von C.________ vom 21. Oktober 2013. Der angefochtene Entscheid ist auch in diesem Punkt aufzuheben.</w:t>
      </w:r>
    </w:p>
    <w:p>
      <w:r>
        <w:rPr>
          <w:b/>
        </w:rPr>
        <w:t>E. 3</w:t>
      </w:r>
    </w:p>
    <w:p>
      <w:r>
        <w:t>Die Beschwerde ist gutzuheissen. Das angefochtene Urteil ist aufzuheben und die Sache zu neuer Entscheidung an die Vorinstanz zurückzuweisen. Es erübrigt sich, auf die weiteren Rügen des Beschwerdeführers einzugehen. Für das bundesgerichtliche Verfahren sind keine Kosten zu erheben ( Art. 66 Abs. 1 und 4 BGG ). Der Beschwerdeführer hat Anspruch auf eine angemessene Parteientschädigung ( Art. 68 Abs. 2 BGG ). Diese ist praxisgemäss dem Rechtsvertreter auszurichten.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