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76/2016 vom 3. Juni 2016</w:t>
      </w:r>
    </w:p>
    <w:p>
      <w:r>
        <w:t>Bundesgericht, 2016-06-03, DE</w:t>
      </w:r>
    </w:p>
    <w:p>
      <w:r>
        <w:rPr>
          <w:b/>
        </w:rPr>
        <w:t xml:space="preserve">Quelle: </w:t>
      </w:r>
      <w:r>
        <w:t>https://mcp.opencaselaw.ch/entscheid/bger_6B_76_2016</w:t>
      </w:r>
    </w:p>
    <w:p>
      <w:r>
        <w:t>FR: TF 6B 76/2016 du 3 juin 2016</w:t>
      </w:r>
    </w:p>
    <w:p>
      <w:r>
        <w:t>IT: TF 6B 76/2016 del 3 giugno 2016</w:t>
      </w:r>
    </w:p>
    <w:p>
      <w:pPr>
        <w:pStyle w:val="Heading2"/>
      </w:pPr>
      <w:r>
        <w:t>Regeste</w:t>
      </w:r>
    </w:p>
    <w:p>
      <w:r>
        <w:t>Grobe Verletzung von Verkehrsregeln; willkürliche Beweiswürdigung | Straftaten</w:t>
      </w:r>
    </w:p>
    <w:p>
      <w:pPr>
        <w:pStyle w:val="Heading2"/>
      </w:pPr>
      <w:r>
        <w:t>Erwägungen</w:t>
      </w:r>
    </w:p>
    <w:p>
      <w:r>
        <w:rPr>
          <w:b/>
        </w:rPr>
        <w:t>E. 1.1</w:t>
      </w:r>
    </w:p>
    <w:p>
      <w:r>
        <w:t>Der Beschwerdeführer wendet sich gegen die vorinstanzliche Feststellung, wonach die Fahrzeuge auf der mittleren Spur aufgrund seines Fahrmanövers stark abbremsen mussten. Er rügt eine offensichtlich unrichtige Sachverhaltsfeststellung und eine Verletzung der Unschuldsvermutung, da die Vorinstanz unkritisch auf die seinen Aussagen widersprechende Schilderung des Zeugen A.________ abstelle. Dieser habe den Vorfall aufgrund des grossen Abstands gar nicht hinlänglich beobachten können (Beschwerde S. 5 f.).</w:t>
      </w:r>
    </w:p>
    <w:p>
      <w:r>
        <w:rPr>
          <w:b/>
        </w:rPr>
        <w:t>E. 1.2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317 E. 5.4 S. 324 mit Hinweisen; vgl. zum Begriff der Willkür bei der Beweiswürdigung: BGE 141 IV 369 E. 6.3 S. 375; 140 III 264 E. 2.3 S. 266 ; 129 I 173 E. 3.1 S. 178; je mit Hinweisen). Eine entsprechende Rüge muss in der Beschwerde explizit vorgebracht und substanziiert begründet werden ( Art. 106 Abs. 2 BGG ). Auf eine rein appellatorische Kritik am angefochtenen Entscheid tritt das Bundesgericht nicht ein ( BGE 141 IV 369 E. 6.3 S. 375, 317 E. 5.4 S. 324; je mit Hinweisen). Dem Grundsatz "in dubio pro reo" kommt als Beweiswürdigungsregel im Verfahren vor Bundesgericht keine über das Willkürverbot von Art. 9 BV hinausgehende Bedeutung zu ( BGE 138 V 74 E. 7 S. 82 ; 127 I 38 E. 2a S. 41).</w:t>
      </w:r>
    </w:p>
    <w:p>
      <w:r>
        <w:rPr>
          <w:b/>
        </w:rPr>
        <w:t>E. 1.3</w:t>
      </w:r>
    </w:p>
    <w:p>
      <w:r>
        <w:t>Die Vorinstanz führt namentlich aus, der Zeuge habe die Verkehrssituation aufgrund seiner erhöhten Sitzposition in einem Lieferwagen bestens überblicken können (angefochtenes Urteil E. 3.1 S. 5). Der Beschwerdeführer habe offensichtlich durch die aussergewöhnliche Lautstärke seines beschleunigenden Maserati die Aufmerksamkeit des Zeugen auf sich gelenkt. Es bestehe kein Anlass, an der Richtigkeit der Zeugenaussage zu zweifeln, wonach der nachfolgende Verkehr aufgrund des Spurwechsels des Beschwerdeführers stark bremsen musste (angefochtenes Urteil S. 6).</w:t>
      </w:r>
    </w:p>
    <w:p>
      <w:r>
        <w:rPr>
          <w:b/>
        </w:rPr>
        <w:t>E. 1.4</w:t>
      </w:r>
    </w:p>
    <w:p>
      <w:r>
        <w:t>Was der Beschwerdeführer gegen die vorinstanzliche Sachverhaltsfeststellung einwendet, ist nicht geeignet, Willkür darzutun. Der Beschwerdeführer verkennt, dass die Beweiswürdigung der Vorinstanz nicht bereits deshalb offensichtlich unhaltbar ist, weil sie auf einer Zeugenaussage beruht, die seinen eigenen Aussagen widerspricht. Auch bringt er nichts vor, das bei der Vorinstanz Zweifel an der Glaubhaftigkeit der Zeugenaussage hätte hervorrufen müssen. Die Sachverhaltsrüge des Beschwerdeführers erschöpft sich in einer unzulässigen appellatorischen Kritik. Darauf ist nicht einzutreten.</w:t>
      </w:r>
    </w:p>
    <w:p>
      <w:r>
        <w:rPr>
          <w:b/>
        </w:rPr>
        <w:t>E. 2</w:t>
      </w:r>
    </w:p>
    <w:p>
      <w:r>
        <w:t>Der Beschwerdeführer ficht sodann die rechtliche Qualifikation als grobe Verletzung von Verkehrsregeln an. Er macht geltend, es fehle an einer abstrakten Gefährdung, da er mit genügendem Abstand und noch weit vor dem ersten Fahrzeug der Kolonne auf die mittlere Spur gewechselt habe (Beschwerde S. 6 ff.). Damit legt er seiner rechtlichen Würdigung von den verbindlichen vorinstanzlichen Sachverhaltsfeststellungen abweichende Tatsachenbehauptungen zugrunde. Darauf ist nicht einzutreten (vgl. Art. 105 Abs. 1 BGG ). Eine rechtsgenügende Begründung, weshalb der Schuldspruch wegen grober Verkehrsregelverletzung ausgehend von den vorinstanzlichen Sachverhaltsfeststellungen Bundesrecht verletzen könnte, kann der Beschwerde nicht entnommen werden. Die Vorinstanz erwägt entgegen dem Beschwerdeführer (vgl. Beschwerde S. 7) zutreffend, dass die Fahrzeuge auf der mittleren Fahrspur nicht mit dem von links einspurenden Fahrzeug rechnen mussten, da sich dieses auf einer ausschliesslich zum Linksabbiegen berechtigenden Spur befand (angefochtenes Urteil E. 3.2.2 S. 8). Der Schuldspruch wegen grober Verletzung der Verkehrsegeln verletzt kein Bundesrecht.</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