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76/2013 vom 29. August 2013</w:t>
      </w:r>
    </w:p>
    <w:p>
      <w:r>
        <w:t>Bundesgericht, 2013-08-29, FR</w:t>
      </w:r>
    </w:p>
    <w:p>
      <w:r>
        <w:rPr>
          <w:b/>
        </w:rPr>
        <w:t xml:space="preserve">Quelle: </w:t>
      </w:r>
      <w:r>
        <w:t>https://mcp.opencaselaw.ch/entscheid/bger_6B_76_2013</w:t>
      </w:r>
    </w:p>
    <w:p>
      <w:r>
        <w:t>FR: TF 6B 76/2013 du 29 août 2013</w:t>
      </w:r>
    </w:p>
    <w:p>
      <w:r>
        <w:t>IT: TF 6B 76/2013 del 29 agosto 2013</w:t>
      </w:r>
    </w:p>
    <w:p>
      <w:pPr>
        <w:pStyle w:val="Heading2"/>
      </w:pPr>
      <w:r>
        <w:t>Regeste</w:t>
      </w:r>
    </w:p>
    <w:p>
      <w:r>
        <w:t>Procédure écrite (art. 406 CPP) | Infractions</w:t>
      </w:r>
    </w:p>
    <w:p>
      <w:pPr>
        <w:pStyle w:val="Heading2"/>
      </w:pPr>
      <w:r>
        <w:t>Erwägungen</w:t>
      </w:r>
    </w:p>
    <w:p>
      <w:r>
        <w:rPr>
          <w:b/>
        </w:rPr>
        <w:t>E. 1</w:t>
      </w:r>
    </w:p>
    <w:p>
      <w:r>
        <w:t>Le recourant se plaint que la cour cantonale ait suivi la procédure écrite ( art.406 CPP ).</w:t>
      </w:r>
    </w:p>
    <w:p>
      <w:r>
        <w:rPr>
          <w:b/>
        </w:rPr>
        <w:t>E. 1.1</w:t>
      </w:r>
    </w:p>
    <w:p>
      <w:r>
        <w:t>En principe, la procédure d'appel est orale et publique ( art. 69 CPP ). Dans certains cas, afin de décharger les instances judiciaires, le législateur permet toutefois à la juridiction d'appel de remplacer les débats par une procédure écrite. L' art. 406 CPP énumère limitativement ces cas. La lettre a. de cette disposition prévoit notamment que la procédure est écrite si seuls des points de droit (par opposition aux circonstances de fait) doivent être tranchés. Par exemple, la juridiction d'appel pourra renoncer aux débats lorsque l'appel concerne la validité de la plainte, la prescription des actes incriminés ou la qualification de l'infraction. Si le Tribunal fédéral casse le jugement sur appel et renvoie la cause à l'autorité précédente, la question du caractère écrit ou oral de la procédure devant la juridiction d'appel sera résolue en considération du cadre du renvoi défini par le Tribunal fédéral. Ainsi, la procédure pourra être écrite lorsque le renvoi porte exclusivement sur des questions de droit.</w:t>
      </w:r>
    </w:p>
    <w:p>
      <w:r>
        <w:rPr>
          <w:b/>
        </w:rPr>
        <w:t>E. 1.2</w:t>
      </w:r>
    </w:p>
    <w:p>
      <w:r>
        <w:t>En l'espèce, dans son arrêt de renvoi, le Tribunal fédéral a annulé l'arrêt de la cour cantonale et lui a renvoyé la cause afin qu'elle complète l'état de fait sur plusieurs points, notamment sur la question de la légitime défense et sur les éléments déterminants pour fixer la peine. Le renvoi impliquait donc l'éclaircissement de circonstances de fait, et n'était pas limité à des questions de droit. Dans ces conditions, il incombait à la juridiction d'appel d'ordonner des débats, comme le demandait le recourant. Le recours doit dès lors être admis, l'arrêt attaqué doit être annulé et la cause renvoyée à la cour cantonale pour qu'elle ordonne des débats. Vu l'issue du recours, il n'est pas nécessaire de se prononcer sur les autres griefs.</w:t>
      </w:r>
    </w:p>
    <w:p>
      <w:r>
        <w:rPr>
          <w:b/>
        </w:rPr>
        <w:t>E. 2</w:t>
      </w:r>
    </w:p>
    <w:p>
      <w:r>
        <w:t>Le recourant qui obtient gain de cause ne supporte pas de frais judiciaires ( art. 66 al. 1 LTF ) et peut prétendre à une indemnité de dépens à la charge du canton de Genève ( art. 68 al. 1 et 2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