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769/2017 vom 20. Oktober 2017</w:t>
      </w:r>
    </w:p>
    <w:p>
      <w:r>
        <w:t>Bundesgericht, 2017-10-20, DE</w:t>
      </w:r>
    </w:p>
    <w:p>
      <w:r>
        <w:rPr>
          <w:b/>
        </w:rPr>
        <w:t xml:space="preserve">Quelle: </w:t>
      </w:r>
      <w:r>
        <w:t>https://mcp.opencaselaw.ch/entscheid/bger_6B_769_2017</w:t>
      </w:r>
    </w:p>
    <w:p>
      <w:r>
        <w:t>FR: TF 6B 769/2017 du 20 octobre 2017</w:t>
      </w:r>
    </w:p>
    <w:p>
      <w:r>
        <w:t>IT: TF 6B 769/2017 del 20 ottobre 2017</w:t>
      </w:r>
    </w:p>
    <w:p>
      <w:pPr>
        <w:pStyle w:val="Heading2"/>
      </w:pPr>
      <w:r>
        <w:t>Regeste</w:t>
      </w:r>
    </w:p>
    <w:p>
      <w:r>
        <w:t>Rückzug der Einsprache (unentschuldigtes Fernbleiben an der Hauptverhandlung; pflichtwidriges Verhalten bei Unfall) | Strafprozess</w:t>
      </w:r>
    </w:p>
    <w:p>
      <w:pPr>
        <w:pStyle w:val="Heading2"/>
      </w:pPr>
      <w:r>
        <w:t>Erwägungen</w:t>
      </w:r>
    </w:p>
    <w:p>
      <w:r>
        <w:rPr>
          <w:b/>
        </w:rPr>
        <w:t>E. 1</w:t>
      </w:r>
    </w:p>
    <w:p>
      <w:r>
        <w:t>Die Staatsanwaltschaft Bischofszell sprach mit Strafbefehl vom 24. Juni 2016 gegen X.________ eine unbedingte Geldstrafe von 40 Tagessätzen zu Fr. 30.-- und eine Busse von Fr. 300.-- wegen Tätlichkeiten und pflichtwidrigem Verhalten bei einem Unfall aus. Gleichzeitig widerrief sie zwei bedingt ausgesprochene Geldstrafen von 20 und 45 Tagessätzen zu je Fr. 70.--. Nach erhobener Einsprache von X.________ hielt die Staatsanwaltschaft am Strafbefehl fest.</w:t>
      </w:r>
    </w:p>
    <w:p>
      <w:r>
        <w:rPr>
          <w:b/>
        </w:rPr>
        <w:t>E. 2</w:t>
      </w:r>
    </w:p>
    <w:p>
      <w:r>
        <w:t>X.________ wurde unter Hinweis auf seine Erscheinungspflicht sowie die Säumnisfolgen und mögliche Disziplinarmassnahmen bei unentschuldigtem Fernbleiben zur Hauptverhandlung vor dem Bezirksgericht Weinfelden am 9. Mai 2017 vorgeladen. Er blieb der Hauptverhandlung fern und liess sich auch nicht anwaltlich vertreten. Das Bezirksgericht schrieb am 9. Mai 2017 das Strafverfahren infolge Rückzugs der Einsprache als erledigt ab und sprach gegen X.________ eine Ordnungsbusse von Fr. 200.-- wegen unentschuldigten Nichterscheinens zur Hauptverhandlung aus. Die hiergegen erhobene Beschwerde wies das Obergericht des Kantons Thurgau am 1. Juni 2017 ab, soweit es darauf eintrat.</w:t>
      </w:r>
    </w:p>
    <w:p>
      <w:r>
        <w:rPr>
          <w:b/>
        </w:rPr>
        <w:t>E. 3</w:t>
      </w:r>
    </w:p>
    <w:p>
      <w:r>
        <w:t>X.________ gelangt mit Eingabe vom 29. Juli 2017 ans Bundesgericht und beantragt, das Verfahren neu aufzuarbeiten. Er habe nie die Möglichkeit gehabt, den Sachverhalt aus seiner Sicht darzustellen, da er die Vorladung des Bezirksgerichts im "Umzugsstress" verloren und den Gerichtstermin vergessen habe. Dies habe er dem Obergericht erklärt, jedoch keine neue Vorladung zur Hauptverhandlung erhalten.</w:t>
      </w:r>
    </w:p>
    <w:p>
      <w:r>
        <w:rPr>
          <w:b/>
        </w:rPr>
        <w:t>E. 4</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5</w:t>
      </w:r>
    </w:p>
    <w:p>
      <w:r>
        <w:t>Die Beschwerde genügt den gesetzlichen Begründungsanforderungen nicht. Der Beschwerdeführer geht auf die Erwägungen der Vorinstanz nicht ein, sondern wiederholt lediglich, warum er nicht zur Hauptverhandlung vor dem Bezirksgericht erschienen ist. Inwieweit der Entscheid der Vorinstanz, dem der vom Beschwerdeführer geschilderte Sachverhalt zu Grunde liegt, rechtsfehlerhaft im Sinne von Art. 95 BGG sein soll, ergibt sich aus der Eingabe nicht. Im Übrigen wäre die Beschwerde auch unbegründet. Der Beschwerdeführer legt selbst dar, dass er die Vorladung - wenn auch durch Unachtsamkeit - verloren und sein Fernbleiben von der Hauptverhandlung somit selbst zu verantworten hat, dieses mithin nicht unverschuldet im Sinne von Art. 356 Abs. 4 StPO war. Auch eine Verletzung seines Anspruchs auf rechtliches Gehör ist unter diesen Umständen nicht gegeben.</w:t>
      </w:r>
    </w:p>
    <w:p>
      <w:r>
        <w:rPr>
          <w:b/>
        </w:rPr>
        <w:t>E. 6</w:t>
      </w:r>
    </w:p>
    <w:p>
      <w:r>
        <w:t>Die Beschwerde ist im Verfahren gemäss Art. 108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