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769/2013 vom 16. Januar 2014</w:t>
      </w:r>
    </w:p>
    <w:p>
      <w:r>
        <w:t>Bundesgericht, 2014-01-16, FR</w:t>
      </w:r>
    </w:p>
    <w:p>
      <w:r>
        <w:rPr>
          <w:b/>
        </w:rPr>
        <w:t xml:space="preserve">Quelle: </w:t>
      </w:r>
      <w:r>
        <w:t>https://mcp.opencaselaw.ch/entscheid/bger_6B_769_2013</w:t>
      </w:r>
    </w:p>
    <w:p>
      <w:r>
        <w:t>FR: TF 6B 769/2013 du 16 janvier 2014</w:t>
      </w:r>
    </w:p>
    <w:p>
      <w:r>
        <w:t>IT: TF 6B 769/2013 del 16 gennaio 2014</w:t>
      </w:r>
    </w:p>
    <w:p>
      <w:pPr>
        <w:pStyle w:val="Heading2"/>
      </w:pPr>
      <w:r>
        <w:t>Regeste</w:t>
      </w:r>
    </w:p>
    <w:p>
      <w:r>
        <w:t>Ordonnance de classement (lésions corporelles simples, abus d'autorité)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La loi vaudoise du 16 mai 1961 sur la responsabilité de l'Etat, des communes et de leurs agents (LRECA; RS/VD 170.11) prévoit que l'Etat et les corporations communales répondent du dommage que leurs agents causent à des tiers d'une manière illicite (art. 4 al. 1). L'agent n'est pas tenu personnellement envers le lésé de réparer le dommage (art. 5). Sont des agents exerçant une fonction publique communale au sens de cette loi, les membres des autorités, les fonctionnaires, les employés et les autres agents des corporations communales (art. 3 al. 2). Entrent dans cette catégorie les agents de la police municipale qui font l'objet de la plainte de la recourante. Le canton de Vaud ayant ainsi fait usage de la faculté réservée à l' art. 61 al. 1 CO , la recourante ne dispose que d'une prétention de droit public à faire valoir non pas contre les auteurs présumés, mais contre l'État (cf. ATF 128 IV 188 consid. 2.2 p. 191; arrêt 6B_474/2013 du 23 août 2013 consid. 1.3 et les arrêts cités). Selon la jurisprudence constante, une telle prétention ne peut être invoquée dans le procès pénal par voie d'adhésion et ne constitue dès lors pas une prétention civile au sens des dispositions précitées ( ATF 138 IV 86 consid. 3.1 p. 88; 128 IV 188 consid. 2 p. 190 ss).</w:t>
      </w:r>
    </w:p>
    <w:p>
      <w:r>
        <w:rPr>
          <w:b/>
        </w:rPr>
        <w:t>E. 1.3</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3.1.1 p. 88 et les arrêts cités). En l'occurrence, la recourante se plaint d'avoir été frappée à coups de pied et de poing par des agents de police alors qu'elle se trouvait menottée. Si les faits reprochés s'avéraient exacts, ils pourraient être assimilés à un traitement inhumain ou dégradant. La recourante a donc la qualité pour agir et, les autres conditions de recevabilité étant réunies, il y a lieu d'entrer en matière sur le fond.</w:t>
      </w:r>
    </w:p>
    <w:p>
      <w:r>
        <w:rPr>
          <w:b/>
        </w:rPr>
        <w:t>E. 2</w:t>
      </w:r>
    </w:p>
    <w:p>
      <w:r>
        <w:t>La recourante se plaint d'une constatation inexacte des faits, d'une appréciation arbitraire des preuves et d'une violation des art. 7 et 319 CPP . En substance, elle soutient qu'il n'était pas possible de conclure à l'absence de tout abus d'autorité dès lors que les policiers engagés avaient indiqué dans leurs déclarations que les lésions constatées médicalement sur tout son corps n'étaient pas compatibles avec un usage proportionné de la force. Ces lésions n'auraient pas pu être causées par son comportement au vu de leur nombre, de leur position sur le corps, de leur profondeur et de la marque de semelle sur sa robe à hauteur du bas-ventre. Les policiers avaient fait un usage disproportionné de la force, se rendant coupable d'abus d'autorité.</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(138 IV 86 consid. 4.1.2 p. 91; 137 IV 285 consid. 2.5 p. 288 s.).</w:t>
      </w:r>
    </w:p>
    <w:p>
      <w:r>
        <w:rPr>
          <w:b/>
        </w:rPr>
        <w:t>E. 2.2</w:t>
      </w:r>
    </w:p>
    <w:p>
      <w:r>
        <w:t>La cour cantonale s'est référée à la décision du Procureur. En substance, ce dernier avait retenu que les actes de contrainte étaient justifiés par l'attitude oppositionnelle de la recourante. Il n'était pas exclu que certaines des lésions constatées avaient été causées par la recourante elle-même alors qu'elle se débattait. Le tableau des lésions documentées par le rapport de l'UMV ne permettait pas à lui seul de soupçonner des violences policières, ce d'autant que les faits incriminés auraient été commis à la vue de tous. Les agents avaient agi conformément aux devoirs de leur charge, l'infraction d'abus d'autorité n'était pas réalisée et un classement devait être prononcé. Quant à la cour cantonale, elle a retenu que les atteintes documentées par l'UMV étaient de nature à tomber sous le coup de l'infraction de lésions corporelles simples, respectivement de lésions corporelles par négligence. Il était plausible que certaines lésions cutanées aient été causées par les policiers, qui admettaient des actes de coercition physique envers la recourante. Ils s'étaient toutefois limités à agir dans l'exercice de leurs fonctions, sans faire usage de moyens disproportionnés. L'instruction n'avait pas permis d'établir le moindre abus d'autorité au préjudice de la recourante. L'usage de la force était resté strictement proportionné aux circonstances. Rien ne permettait de retenir un dessein dolosif de l'un ou l'autre des policiers concernés. Les actes incriminés étaient dès lors licites. Aucune mesure d'instruction n'apparaissait de nature à mener à une autre appréciation et une mise en accusation aboutirait ainsi sans aucun doute à l'acquittement des prévenus.</w:t>
      </w:r>
    </w:p>
    <w:p>
      <w:r>
        <w:rPr>
          <w:b/>
        </w:rPr>
        <w:t>E. 2.3</w:t>
      </w:r>
    </w:p>
    <w:p>
      <w:r>
        <w:t>La cour cantonale a retenu qu'il était plausible qu'une partie des lésions aient été causées par les policiers. Se référant à la motivation du Procureur, elle a également considéré qu'il n'était pas exclu que certaines lésions aient été causées par la recourante elle-même lorsqu'elle se débattait. De plus, il semble que la cour cantonale ait implicitement retenu que certaines lésions restaient inexpliquées. Elle ne se prononce toutefois pas sur les motifs pour lesquels elle écarte la version de la recourante. La formulation même de la motivation cantonale, en particulier l'emploi des termes « plausible », « pas exclu », laisse penser qu'un certain doute existe quant au déroulement des faits. La cour cantonale a ainsi implicitement retenu la version la plus favorable aux prévenus. Or, au stade du classement, une telle application du principe in dubio pro reo ne se justifie pas (cf. ATF 137 IV 219 consid. 7.3 p. 227 et les références citées). Les lésions subies par la recourante et constatées dans le rapport de l'UMV et les autres indices figurant au dossier ne permettent pas, à ce stade, de retenir qu'il n'existe aucun soupçon justifiant une mise en accusation, ni que les éléments constitutifs d'une infraction ne sont pas réunies ( art. 319 al. 1 let. a et b CPP ), comme l'a fait la cour cantonale. Compte tenu du droit de la recourante à une enquête effective et, le cas échéant, à une procédure judiciaire, la décision de classement doit être annulée. Sous réserve d'éventuels compléments d'instruction à effectuer, un renvoi en jugement s'impose au sens de l' art. 324 CPP .</w:t>
      </w:r>
    </w:p>
    <w:p>
      <w:r>
        <w:rPr>
          <w:b/>
        </w:rPr>
        <w:t>E. 3</w:t>
      </w:r>
    </w:p>
    <w:p>
      <w:r>
        <w:t>Le recours doit être admis, l'arrêt attaqué annulé et la cause renvoyée à l'autorité cantonale pour nouvelle instruction et nouvelle décision. Au vu du sort du recours, il n'y a pas lieu d'examiner les autres griefs soulevés par la recourante qui deviennent sans objet. La recourante obtient gain de cause. Elle ne supporte pas de frais (art. 65 al. 2 et 66 al. 1 LTF). Elle peut prétendre à de pleins dépens à charge du canton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