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6B_768/2013 vom 12. November 2013</w:t>
      </w:r>
    </w:p>
    <w:p>
      <w:r>
        <w:t>Bundesgericht, 2013-11-12, FR</w:t>
      </w:r>
    </w:p>
    <w:p>
      <w:r>
        <w:rPr>
          <w:b/>
        </w:rPr>
        <w:t xml:space="preserve">Quelle: </w:t>
      </w:r>
      <w:r>
        <w:t>https://mcp.opencaselaw.ch/entscheid/bger_6B_768_2013</w:t>
      </w:r>
    </w:p>
    <w:p>
      <w:r>
        <w:t>FR: TF 6B_768/2013 du 12 novembre 2013</w:t>
      </w:r>
    </w:p>
    <w:p>
      <w:r>
        <w:t>IT: TF 6B_768/2013 del 12 novembre 2013</w:t>
      </w:r>
    </w:p>
    <w:p>
      <w:pPr>
        <w:pStyle w:val="Heading2"/>
      </w:pPr>
      <w:r>
        <w:t>Erwägungen</w:t>
      </w:r>
    </w:p>
    <w:p>
      <w:r>
        <w:rPr>
          <w:b/>
        </w:rPr>
        <w:t>E. 1.1</w:t>
      </w:r>
    </w:p>
    <w:p>
      <w:r>
        <w:t>Le Tribunal fédéral examine d'office et librement la recevabilité des recours qui lui sont soumis ( ATF 138 III 46 consid. 1 p. 46).</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non seulement des prétentions en réparation du dommage et du tort moral au sens des art. 41 ss CO , mais aussi celles qui visent toute satisfaction ou protection offerte par le droit privé ( ATF 127 IV 185 consid. 1a p. 187). La notion d'influence du jugement pénal sur les prétentions civiles est conçue strictement.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 Dès lors que la décision attaquée ne contient rien qui puisse lui être opposé sur le plan civil, il y a lieu d'admettre que la sentence n'a pas d'effet sur le jugement de ses prétentions civiles. Il faut que la décision attaquée ait pour conséquence que la victime rencontrera plus de difficultés à faire valoir ses prétentions civiles ( ATF 127 IV 185 consid. 1a p. 188; 120 IV 38 consid. 2c p. 41; 119 IV 339 consid. 1d/cc p. 344).</w:t>
      </w:r>
    </w:p>
    <w:p>
      <w:r>
        <w:t>Sous peine d'irrecevabilité du recours, il incombe au recourant d'alléguer les faits qu'il considère comme propres à fonder sa qualité pour recourir ( ATF 138 III 537 consid. 1.2 p. 539; 133 II 353 consid. 1 p. 356). Lorsque, comme en l'espèce,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w:t>
      </w:r>
    </w:p>
    <w:p>
      <w:r>
        <w:rPr>
          <w:b/>
        </w:rPr>
        <w:t>E. 1.3</w:t>
      </w:r>
    </w:p>
    <w:p>
      <w:r>
        <w:t>Le recourant estime que la décision de non-entrée en matière porte atteinte à ses prétentions civiles. Il considère qu'il est en droit de prétendre à une indemnité pour tort moral dans la mesure où la soustraction, respectivement l'usage, des documents incriminés dans la procédure civile menée en France à son encontre représente une atteinte illicite à sa personnalité au sens de l' art. 28 CC et 49 al. 1 CO. Une telle affirmation ne permet pas de comprendre sans ambiguïté quelles prétentions civiles pourraient être élevées. Le recourant n'explique pas en quoi résiderait son dommage ou le préjudice moral subi, pas plus que son importance. Il est rappelé à cet égard que n'importe quelle atteinte légère à la réputation professionnelle, économique ou sociale d'une personne ne justifie pas une réparation ( ATF 130 III 699 consid. 5.1 p. 704;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w:t>
      </w:r>
    </w:p>
    <w:p>
      <w:r>
        <w:t>Le recourant ne saurait davantage se prévaloir, comme il le fait, de prétentions en dommages et intérêts tenant au coût des démarches judiciaires qu'il a dû entreprendre en relation avec les infractions énoncées. Le coût de telles démarches ne saurait constituer une prétention civile au sens de l' art. 81 al. 1 a et b ch. 5 LTF . En effet, admettre un droit de recours à raison d'une telle prétention permettrait de contourner systématiquement la règle de l'art. 81 al. 1 let. a et b ch. 5 LTF indépendamment des prétentions de fond que la partie plaignante entend élever (arrêt 1B_712/2011 du 3 avril 2012 consid. 1.3).</w:t>
      </w:r>
    </w:p>
    <w:p>
      <w:r>
        <w:t>Enfin, le recourant se borne à affirmer son droit à la restitution des documents litigieux. Ce faisant, il ne motive ni où il entend intenter une action, alors que la cause présente des éléments d'extranéité, ni quel type d'action il entend entreprendre (action possessoire, action en revendication parmi d'autres), étant précisé que certaines d'entre elles semblent périmées selon le droit suisse (par exemple, l'action réintégrande de l' art. 927 CC en lien avec l' art. 929 CC ). Il ne motive pas davantage en quoi la décision attaquée est susceptible d'avoir un effet négatif sur ses prétentions civiles et donc de l'entraver dans ses facultés de faire valoir celles-ci alors même que cela n'a rien d'évident.</w:t>
      </w:r>
    </w:p>
    <w:p>
      <w:r>
        <w:t>Pareilles affirmations ne répondent pas aux exigences de la jurisprudence rappelée ci-dessus et sont à cet égard insuffisantes pour fonder sa qualité pour recourir.</w:t>
      </w:r>
    </w:p>
    <w:p>
      <w:r>
        <w:t>Au vu de ce qui précède, le recours doit être déclaré irrecevable, faute de qualité pour recourir. Le recourant succombe. Il supporte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