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766/2018 vom 28. September 2018</w:t>
      </w:r>
    </w:p>
    <w:p>
      <w:r>
        <w:t>Bundesgericht, 2018-09-28, FR</w:t>
      </w:r>
    </w:p>
    <w:p>
      <w:r>
        <w:rPr>
          <w:b/>
        </w:rPr>
        <w:t xml:space="preserve">Quelle: </w:t>
      </w:r>
      <w:r>
        <w:t>https://mcp.opencaselaw.ch/entscheid/bger_6B_766_2018</w:t>
      </w:r>
    </w:p>
    <w:p>
      <w:r>
        <w:t>FR: TF 6B 766/2018 du 28 septembre 2018</w:t>
      </w:r>
    </w:p>
    <w:p>
      <w:r>
        <w:t>IT: TF 6B 766/2018 del 28 settembre 2018</w:t>
      </w:r>
    </w:p>
    <w:p>
      <w:pPr>
        <w:pStyle w:val="Heading2"/>
      </w:pPr>
      <w:r>
        <w:t>Regeste</w:t>
      </w:r>
    </w:p>
    <w:p>
      <w:r>
        <w:t>Ordonnance de non-entrée en matière | Procédure pénale</w:t>
      </w:r>
    </w:p>
    <w:p>
      <w:pPr>
        <w:pStyle w:val="Heading2"/>
      </w:pPr>
      <w:r>
        <w:t>Erwägungen</w:t>
      </w:r>
    </w:p>
    <w:p>
      <w:r>
        <w:rPr>
          <w:b/>
        </w:rPr>
        <w:t>E. 1.1</w:t>
      </w:r>
    </w:p>
    <w:p>
      <w:r>
        <w:t>Le recourant intitule son acte " recours en matière pénale et recours constitutionnel subsidiaire ". L'arrêt attaqué, qui est final, a été rendu dans une cause de droit pénal. Il peut donc faire l'objet d'un recours en matière pénale ( art. 78 ss LTF ), qui permet notamment de se plaindre de toute violation du droit fédéral, y compris des droits constitutionnels ( art. 95 let. a LTF ). Par conséquent, le recours constitutionnel subsidiaire est exclu ( art. 113 LTF a contrario).</w:t>
      </w:r>
    </w:p>
    <w:p>
      <w:r>
        <w:rPr>
          <w:b/>
        </w:rPr>
        <w:t>E. 1.2</w:t>
      </w:r>
    </w:p>
    <w:p>
      <w:r>
        <w:t>Il ne sera par ailleurs pas entré en matière sur la requête du recourant visant à ce que l'affaire soit confiée à un autre procureur, les procédures de récusation ne faisant pas l'objet de la présente procédure.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Dans son mémoire, le recourant prétend à l'obtention d'un montant de 10'000 fr. à titre de tort moral ainsi qu'au remboursement d'importants frais médicaux, qu'il ne chiffre toutefois pas. Il allègue qu'ensuite de l'agression dont il avait été victime, les médecins ont découvert l'existence d'un hématome sous-dural, qui entraînait notamment une vision trouble à l'oeil gauche ainsi que des douleurs persistantes à la nuque. Il explique avoir subi dès lors, suivant les conseils de ses médecins, une opération neurochirurgicale, qui a nécessité cinq jours d'hospitalisation et qui a eu pour conséquence, outre l'apparition d'une cicatrice disgracieuse sur son crâne dégarni, de nombreux risques d'effets secondaires neurologiques. Vu la nature alléguée des lésions subies et l'infraction dénoncée ( art. 122 CP ), ces explications suffisent au stade de la recevabilité pour reconnaître au recourant, en particulier sous l'angle du tort moral, la qualité pour recourir au sens de l'art. 81 al. 1 let. b ch. 5 LTF ( ATF 141 IV 1 consid. 1.1 p. 4). Il y a donc lieu d'entrer en matière.</w:t>
      </w:r>
    </w:p>
    <w:p>
      <w:r>
        <w:rPr>
          <w:b/>
        </w:rPr>
        <w:t>E. 3</w:t>
      </w:r>
    </w:p>
    <w:p>
      <w:r>
        <w:t>Le recourant conteste que les conditions d'une non-entrée en matière au sens de l' art. 310 al. 1 let. a CPP soient réunies en l'espèce.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 ATF 143 IV 241 consid. 2.2.2 p. 243 et les arrêts cités; arrêts 6B_193/2018 du 3 juillet 2018 consid. 2.1;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 6B_179/2018 du 27 juillet 2018 consid. 3.1).</w:t>
      </w:r>
    </w:p>
    <w:p>
      <w:r>
        <w:rPr>
          <w:b/>
        </w:rPr>
        <w:t>E. 3.2</w:t>
      </w:r>
    </w:p>
    <w:p>
      <w:r>
        <w:t>La cour cantonale a relevé que les intéressés avaient fourni des versions contradictoires concernant les faits objets de la plainte pénale. A cet égard, elle a indiqué ne pas voir d'éléments permettant d'établir la réalité des faits avancés par le plaignant et de privilégier une version plutôt qu'une autre. Du reste, aucun acte d'instruction n'apparaissait à même de déterminer si une agression avait bien eu lieu et, si tel était le cas, quels en étaient les auteurs. Cela étant, la cour cantonale n'a pas constaté que le recourant aurait fait des déclarations contradictoires qui le rendait moins crédible que X.________, ou encore que des éléments probants permettaient de dénier d'entrée de cause toute crédibilité à ses accusations. Il ressort en outre de l'arrêt entrepris que le recourant a produit à l'appui de sa plainte des rapports médicaux attestant de lésions au crâne et au visage susceptibles d'avoir été causées par une agression dont il aurait été victime. A cela s'ajoute le fait que les intéressés ont admis qu'ils avaient déjà rencontré un litige, pour des motifs qui demeurent toutefois peu clairs. Une altercation, au cours de laquelle le dénoncé aurait empoigné le recourant, se serait ainsi produite en présence d'une voisine, qui a été identifiée, mais qui n'a pas été interrogée. Enfin, le recourant a fait état de traces de sang qui auraient été découvertes par son épouse dans le couloir menant à sa cave. Il en découle que les circonstances du cas d'espèce justifiaient d'instruire la situation de fait et, dans ce cadre, d'examiner la crédibilité des déclarations des intéressés. Compte tenu de la jurisprudence précitée, les conditions d'une non-entrée en matière n'étaient pas réunies. La cour cantonale a en effet violé le principe " in dubio pro duriore ". Le recours doit être admis et la cause renvoyée à l'autorité précédente afin qu'elle ordonne l'ouverture d'une instruction.</w:t>
      </w:r>
    </w:p>
    <w:p>
      <w:r>
        <w:rPr>
          <w:b/>
        </w:rPr>
        <w:t>E. 4</w:t>
      </w:r>
    </w:p>
    <w:p>
      <w:r>
        <w:t>Le recourant obtient gain de cause. Il peut prétendre à une indemnité de dépens, à la charge du canton de Genève ( art. 68 al. 1 et 2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