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765/2016 vom 21. Februar 2017</w:t>
      </w:r>
    </w:p>
    <w:p>
      <w:r>
        <w:t>Bundesgericht, 2017-02-21, FR</w:t>
      </w:r>
    </w:p>
    <w:p>
      <w:r>
        <w:rPr>
          <w:b/>
        </w:rPr>
        <w:t xml:space="preserve">Quelle: </w:t>
      </w:r>
      <w:r>
        <w:t>https://mcp.opencaselaw.ch/entscheid/bger_6B_765_2016</w:t>
      </w:r>
    </w:p>
    <w:p>
      <w:r>
        <w:t>FR: TF 6B 765/2016 du 21 février 2017</w:t>
      </w:r>
    </w:p>
    <w:p>
      <w:r>
        <w:t>IT: TF 6B 765/2016 del 21 febbraio 2017</w:t>
      </w:r>
    </w:p>
    <w:p>
      <w:pPr>
        <w:pStyle w:val="Heading2"/>
      </w:pPr>
      <w:r>
        <w:t>Regeste</w:t>
      </w:r>
    </w:p>
    <w:p>
      <w:r>
        <w:t>Quotité de la peine, arbitraire | Droit pénal (en général)</w:t>
      </w:r>
    </w:p>
    <w:p>
      <w:pPr>
        <w:pStyle w:val="Heading2"/>
      </w:pPr>
      <w:r>
        <w:t>Erwägungen</w:t>
      </w:r>
    </w:p>
    <w:p>
      <w:r>
        <w:rPr>
          <w:b/>
        </w:rPr>
        <w:t>E. 1</w:t>
      </w:r>
    </w:p>
    <w:p>
      <w:r>
        <w:t>Le recourant s'en prend à la nature de la peine prononcée et estime qu'il devrait être sanctionné par une peine pécuniaire. Il fait valoir que plusieurs éléments relatifs à sa situation personnelle ont été ignorés.</w:t>
      </w:r>
    </w:p>
    <w:p>
      <w:r>
        <w:rPr>
          <w:b/>
        </w:rPr>
        <w:t>E. 1.1</w:t>
      </w:r>
    </w:p>
    <w:p>
      <w:r>
        <w:t>Les règles générales régissant la fixation de la peine ( art. 47 CP ) ont été rappelées dans les arrêts publiés aux ATF 141 IV 61 et 136 IV 55, auxquels on peut se référer. La fixation d'une peine complémentaire, régie par l' art. 49 al. 2 CP en cas de concours rétrospectif, n'est possible que pour des peines du même genre, alors que des peines d'un genre différent doivent être prononcées cumulativement ( ATF 142 IV 265 consid. 2.3.2 p. 267 s.). Le recourant ne saurait conclure à ce que la peine pécuniaire requise à titre principal, en lieu et place d'une peine privative de liberté, soit une peine complémentaire à la peine privative de liberté prononcée le 4 avril 2015 par le Ministère public genevois, les deux peines étant d'un genre différent. Au surplus, le recourant ne discute ni la quotité de la peine privative de liberté prononcée ni le caractère complémentaire de cette peine à celle du 4 avril 2015. Il conclut du reste à titre subsidiaire au prononcé d'une peine privative de liberté de même durée au titre de peine complémentaire. Dépourvue de toute critique sur ces deux points, la cause ne sera pas examinée sous ces angles ( art. 42 al. 2 LTF ).</w:t>
      </w:r>
    </w:p>
    <w:p>
      <w:r>
        <w:rPr>
          <w:b/>
        </w:rPr>
        <w:t>E. 1.2</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6B_1100/2014 du 14 octobre 2015 consid. 6.1; arrêt 6B_709/2013 du 27 janvier 2014 consid. 2).</w:t>
      </w:r>
    </w:p>
    <w:p>
      <w:r>
        <w:rPr>
          <w:b/>
        </w:rPr>
        <w:t>E. 1.3</w:t>
      </w:r>
    </w:p>
    <w:p>
      <w:r>
        <w:t>L'examen des conditions de l'octroi ou non du sursis, première condition posée par l' art. 41 al. 1 CP , s'examine selon les critères de l' art. 42 CP qui ont été rappelés dans l'arrêt publié aux ATF 135 IV 180 consid. 2.1 p. 185 s., auquel il est renvoyé. Le recourant est pour le moins incohérent lorsqu'il prétend remplir les conditions du sursis pour le prononcé d'une peine privative de liberté et conclut néanmoins à l'octroi d'une peine ferme en cas de condamnation à une peine pécuniaire. En tout état de cause, il sera relevé qu'il a déjà été condamné à plusieurs reprises notamment pour des chefs d'infraction identiques à ceux retenus dans la présente cause sans effet dissuasif, puisqu'il a persisté dans son comportement délictueux. Au vu des nombreuses condamnationsen question, le pronostic ne peut être que défavorable. Le recourant invoque sa situation familiale et son emploi. Ces éléments ne sauraient toutefois renverser le pronostic, qui reste défavorable au vu de la propension du recourant à commettre des infractions.</w:t>
      </w:r>
    </w:p>
    <w:p>
      <w:r>
        <w:rPr>
          <w:b/>
        </w:rPr>
        <w:t>E. 1.4</w:t>
      </w:r>
    </w:p>
    <w:p>
      <w:r>
        <w:t>Quant au choix de la peine, le reco urant, qui co nclut à la fixation d'une peine pécuniaire, ne tente pas de démontrer qu'il remplirait les conditions permettant de lui infliger un travail d'intérêt général, qu'il ne demande pas expressément ( art. 37 al. 1 CP ). Au sujet de l'exécution d'une peine pécuniaire, il y a lieu de relever, comme le retient la cour cantonale, que le recourant n'a tiré aucune leçon de ses précédentes condamnations, manifestant son incapacité à respecter la loi. Au vu de ces éléments, force est de constater le défaut d'efficacité préventive des peines pécuniaires précédemment prononcées. Or, lorsque des motifs de prévention spéciale permettent de considérer qu'une peine pécuniaire ou une peine de travail d'intérêt général seraient d'emblée inadaptées (arrêt 6B_889/2015 du 30 mai 2016 consid. 4.3), l'autorité peut prononcer une peine privative de liberté de courte durée.</w:t>
      </w:r>
    </w:p>
    <w:p>
      <w:r>
        <w:rPr>
          <w:b/>
        </w:rPr>
        <w:t>E. 1.5</w:t>
      </w:r>
    </w:p>
    <w:p>
      <w:r>
        <w:t>Compte tenu de ce q ui précède, le prononcé d'une peine privative de liberté est la seule sanction qui entre en considération. Son prononcé ne viole pas le droit fédéral.</w:t>
      </w:r>
    </w:p>
    <w:p>
      <w:r>
        <w:rPr>
          <w:b/>
        </w:rPr>
        <w:t>E. 2</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