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6B_764/2025 vom 9. März 2026</w:t>
      </w:r>
    </w:p>
    <w:p>
      <w:r>
        <w:t>Bundesgericht, 2026-03-09, DE</w:t>
      </w:r>
    </w:p>
    <w:p>
      <w:r>
        <w:rPr>
          <w:b/>
        </w:rPr>
        <w:t xml:space="preserve">Quelle: </w:t>
      </w:r>
      <w:r>
        <w:t>https://mcp.opencaselaw.ch/entscheid/bger_6B_764_2025</w:t>
      </w:r>
    </w:p>
    <w:p>
      <w:r>
        <w:t>FR: TF 6B_764/2025 du 9 mars 2026</w:t>
      </w:r>
    </w:p>
    <w:p>
      <w:r>
        <w:t>IT: TF 6B_764/2025 del 9 marzo 2026</w:t>
      </w:r>
    </w:p>
    <w:p>
      <w:pPr>
        <w:pStyle w:val="Heading2"/>
      </w:pPr>
      <w:r>
        <w:t>Erwägungen</w:t>
      </w:r>
    </w:p>
    <w:p>
      <w:r>
        <w:rPr>
          <w:b/>
        </w:rPr>
        <w:t>E. 1</w:t>
      </w:r>
    </w:p>
    <w:p>
      <w:r>
        <w:t>Le recourant reproche à la cour cantonale d'avoir établi les faits de manière arbitraire ( art. 9 Cst. ) et violé le principe</w:t>
      </w:r>
    </w:p>
    <w:p>
      <w:r>
        <w:t>in dubio pro reo ( art. 10 al. 3 CPP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celui-ci n'a pas de portée plus large que l'interdiction de l'arbitraire ( ATF 148 IV 409 consid. 2.2; 146 IV 88 consid. 1.3.1 et les arrêts cités; arrêt 6B_828/2025 du 13 janvier 2026 consid. 1.1.2).</w:t>
      </w:r>
    </w:p>
    <w:p>
      <w:r>
        <w:t>Aussi, le principe</w:t>
      </w:r>
    </w:p>
    <w:p>
      <w:r>
        <w:t>in dubio pro reo ne s'applique pas à la question de savoir quels moyens de preuve doivent être pris en considération et comment ils doivent être appréciés. Il n'entre en jeu qu'après que toutes les preuves jugées nécessaires par le tribunal ont été recueillies et évaluées, c'est-à-dire lors de l'appréciation du résultat des preuves. Il s'agit donc de l'étape qui suit la libre appréciation des moyens de preuve, à savoir la détermination des faits qui constituent le fondement factuel d'un verdict de culpabilité (cf. ATF 144 IV 345 consid. 2.2.3.1; arrêts 6B_755/2025 du 27 novembre 2025 consid. 1.3.2; 6B_382/2024 du 6 février 2025 consid. 3.4).</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6B_828/2025 précité consid. 1.1.3; 6B_979/2024 du 7 mai 2025 consid. 1.1.3; 6B_589/2024 du 17 janvier 2025 consid. 2.1.3).</w:t>
      </w:r>
    </w:p>
    <w:p>
      <w:r>
        <w:rPr>
          <w:b/>
        </w:rPr>
        <w:t>E. 1.1.4</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150 IV 121 consid. 2.3.2.1; 146 IV 114 consid. 2.1; 142 IV 49 consid. 2.1.3; arrêts 6B_828/2025 précité consid. 1.1.6; 6B_613/2025 du 2 octobre 2025 consid. 1.4).</w:t>
      </w:r>
    </w:p>
    <w:p>
      <w:r>
        <w:t>Il n'appartient pas au Tribunal fédéral de vérifier si toutes les affirmations de l'expert sont exemptes d'arbitraire; sa tâche se limite bien plutôt à examiner si l'autorité intimée pouvait, sans arbitraire, se rallier à son résultat ( ATF 142 II 355 consid. 6; arrêts 6B_828/2025 précité consid. 1.1.6; 6B_528/2024 du 10 octobre 2025 consid. 2.4; 7B_1389/2024 du 30 juin 2025 consid. 3.2.5 et les autres références citées).</w:t>
      </w:r>
    </w:p>
    <w:p>
      <w:r>
        <w:rPr>
          <w:b/>
        </w:rPr>
        <w:t>E. 1.2</w:t>
      </w:r>
    </w:p>
    <w:p>
      <w:r>
        <w:t>La cour cantonale a retenu qu'il n'était pas contesté que le recourant était l'auteur de l'excès de vitesse commis le 6 septembre 2021 au guidon du motocycle immatriculé XX YYYYYY sur l'avenue X.________, alors qu'il circulait en direction de la rue Y.________. Elle a considéré qu'il n'y avait pas lieu de s'écarter de l'expertise effectuée par le E.________, selon laquelle le recourant avait atteint une vitesse maximale de 125 km/h, dépassant de la sorte la limitation, après déduction de la marge de sécurité, de 75 km/h. Cette expertise se fondait sur plusieurs éléments probants, dont un scan tridimensionnel et des images de vidéosurveillance. Selon la cour cantonale, les calculs du E.________, réalisés par des experts rompus à un tel exercice, apparaissent plus précis que ceux réalisés par le D.________ sur la base de la vidéo des faits et de mesures effectuées sur les lieux à l'aide d'un odomètre. En outre, l'expert qui avait été entendu avait expliqué de manière convaincante le procédé utilisé, en certifiant la fiabilité des chiffres obtenus.</w:t>
      </w:r>
    </w:p>
    <w:p>
      <w:r>
        <w:rPr>
          <w:b/>
        </w:rPr>
        <w:t>E. 1.3</w:t>
      </w:r>
    </w:p>
    <w:p>
      <w:r>
        <w:t>Le recourant semble tout d'abord méconnaître que lorsque, comme en l'espèce, il critique l'appréciation des preuves et la constatation des faits en référence au principe</w:t>
      </w:r>
    </w:p>
    <w:p>
      <w:r>
        <w:t>in dubio pro reo , celui-ci n'a pas de portée plus large que l'interdiction de l'arbitraire (cf. consid. 1.1.2).</w:t>
      </w:r>
    </w:p>
    <w:p>
      <w:r>
        <w:rPr>
          <w:b/>
        </w:rPr>
        <w:t>E. 1.4</w:t>
      </w:r>
    </w:p>
    <w:p>
      <w:r>
        <w:t>Le recourant met en doute la valeur probante de l'expertise du E.________. En outre, il reproche à la cour cantonale de ne pas avoir tiré du Rapport E.________ l'ensemble des éléments pertinents nécessaires à la résolution du cas. Elle aurait constaté la vitesse parcourue par le recourant de manière inexacte, dès lors que son jugement ne ferait pas état des vitesses moyennes minimales et maximales figurant dans le Rapport E.________ (cf. Rapport E.________, pp. 9 ss), ni de la marge d'erreur de la méthodologie utilisée, ce qui permettrait de contester la valeur probante dudit rapport. Ces éléments démontreraient qu'il n'était pas possible d'établir avec certitude la vitesse à laquelle le recourant aurait circulé au moment des faits litigieux. Selon le recourant, la cour cantonale aurait dû retenir soit la vitesse moyenne sur l'ensemble du tronçon "A-F" comprise entre 82 et 91 km/h, soit les vitesses moyennes minimales sur chacun des tronçons désignés "A-B", "B-C", "B-D", "D-E" et "E-F" (cf. Rapport E.________, pp. 9 ss).</w:t>
      </w:r>
    </w:p>
    <w:p>
      <w:r>
        <w:t>Certes, la cour cantonale n'a pas intégré à son état de fait les vitesses moyennes minimales et maximales qui, à des fins de calcul, déterminaient la fourchette des vitesses établies sur les différents tronçons désignés "A-B", "B-C", "B-D", "D-E" et "E-F". Elle n'a pas non plus retranscrit la marge d'erreur existante, avec laquelle le E.________ a dû composer pour estimer la vitesse moyenne. Cela étant, c'est à juste titre qu'elle n'a pas rapporté le détail du calcul des vitesses, les vitesses minimales et maximales n'ayant pas d'intérêt à elles seules.</w:t>
      </w:r>
    </w:p>
    <w:p>
      <w:r>
        <w:t>A fortiori , le recourant ne pouvait pas prétendre à ce que seules les vitesses minimales théoriques établies pour chaque tronçon dussent être prises en compte.</w:t>
      </w:r>
    </w:p>
    <w:p>
      <w:r>
        <w:t>Le recourant présente ses propres calculs pour affirmer qu'une marge d'erreur trop importante rendrait l'expertise peu fiable. Toutefois, ces calculs ne peuvent être retenus, dès lors que la cour cantonale n'avait aucune bonne raison de s'écarter de l'analyse de l'expertise qui était probante. En particulier, elle prenait en considération l'importante distance entre la caméra et les véhicules, sous la forme d'une tolérance de distance parcourue de cinq mètres (soit un peu plus que deux fois la longueur du motocycle) appliquée à chaque position du véhicule, entraînant une tolérance fixe de plus ou moins dix mètres pour chaque tronçon parcouru, ainsi qu'une tolérance variable du laps de temps utilisé par le recourant en fonction de la distance parcourue. Ces tolérances ont été prises en compte afin de déterminer les fourchettes de vitesses moyennes sur chaque tronçon. L'expertise a également établi que la vitesse moyenne, sans tolérance, sur le tronçon "B-D" se situerait plutôt vers 119 km/h (cf. Rapport E.________, pp. 12 et 16). La vitesse maximale de 125 km/h avait été calculée sur la base de la vitesse moyenne par tronçon, sans tolérance, sur le laps de temps séparant les points de passage, ainsi que sur les capacités d'accélération du scooter qui étaient plausibles. L'expertise explique qu'en raison des capacités dynamiques du scooter, les tolérances maximales ne devaient pas être utilisées pour déterminer la vitesse maximale. En effet, selon l'expertise, les valeurs d'accélération obtenues en considérant les valeurs moyennes pour les vitesses par tronçon étaient tout à fait plausibles et si l'on tenait compte des tolérances maximales, ces valeurs ne pouvaient pas forcément être respectées. Cela signifierait entre autres des valeurs d'accélération trop élevées, au-delà des capacités du scooter, respectivement des décélérations de freinage également trop élevées, ou encore un laps de temps entre deux points de passage impossible à respecter. L'expertise conclut que de légères variations étaient possibles, tant à la hausse qu'à la baisse, en considérant des tolérances plus faibles, sans qu'il soit possible de les quantifier avec précision (cf. Rapport E.________, p. 20). Sur cette base, la cour cantonale pouvait retenir sans arbitraire que la vitesse maximale du recourant était de 125 km/h et, quoi qu'il en soit, une légère variation à la hausse ou à la baisse comme mentionnée dans l'expertise ne changerait rien au résultat, dès lors qu'il s'agirait dans tous les cas d'une violation fondamentale des règles de la circulation routière. Pour le reste, en tant qu'il soutient notamment avoir toujours déclaré circuler à moins de 100 km/h, et que l'expertise ne permettrait pas de savoir où il avait circulé à 125 km/h précisément, ses critiques sont appellatoires. Au demeurant, il ressort tant de l'expertise que du jugement que la vitesse de 125 km/h a été atteinte au point D, soit dans la descente en direction du passage sous-voies (cf. Rapport E.________, pp. 16-17; art. 105 al. 2 LTF ; arrêt attaqué p. 4).</w:t>
      </w:r>
    </w:p>
    <w:p>
      <w:r>
        <w:t>Partant, le grief est rejeté dans la mesure où il est recevable.</w:t>
      </w:r>
    </w:p>
    <w:p>
      <w:r>
        <w:rPr>
          <w:b/>
        </w:rPr>
        <w:t>E. 2</w:t>
      </w:r>
    </w:p>
    <w:p>
      <w:r>
        <w:t>Le recourant reproche à la cour cantonale d'avoir constaté la vitesse en violation des art. 9 OCCR , 4, 6 et 7 OOCCR-OFROU.</w:t>
      </w:r>
    </w:p>
    <w:p>
      <w:r>
        <w:rPr>
          <w:b/>
        </w:rPr>
        <w:t>E. 2.1</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En vertu de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le 22 mai 2008, une ordonnance sur le contrôle de la circulation routière (OOCCR-OFROU; RS 741.013.1; RO 2008 2447), ainsi que, en accord avec le METAS, des Instructions du 22 mai 2008 concernant les contrôles de vitesse par la police et la surveillance de la circulation aux feux rouges (ci-après: les Instructions) (cf. ATF 150 IV 242 consid. 1.1.2).</w:t>
      </w:r>
    </w:p>
    <w:p>
      <w:r>
        <w:rPr>
          <w:b/>
        </w:rPr>
        <w:t>E. 2.2</w:t>
      </w:r>
    </w:p>
    <w:p>
      <w:r>
        <w:t>Selon l' art. 4 OOCCR-OFROU , toute infraction constatée par un système de mesure doit être saisie de manière à ce que les valeurs mesurées puissent être affectées sans le moindre doute à un véhicule ou à un conducteur spécifique. L'art. 3 des Instructions précise les exigences posées à ces méthodes de mesure.</w:t>
      </w:r>
    </w:p>
    <w:p>
      <w:r>
        <w:t>Les art. 6 à 9 OOCCR-OFROU énoncent notamment les types de mesures (art. 6 et 7), les marges de sécurité applicables en fonction des différents types de mesures utilisés (art. 8) ainsi que les exigences relatives à la documentation des vitesses mesurées (art. 9). Plus particulièrement, l' art. 6 OOCCR-OFROU désigne les types de mesures qu'il convient de choisir en premier lieu lors de la réalisation de contrôles de vitesse ( ATF 150 IV 242 consid. 1.1.2). Parmi celles-ci figurent les mesures au moyen de systèmes de mesure immobiles autonomes surveillés par un personnel spécialisé (let. a); les mesures au moyen de systèmes immobiles autonomes (let. b); les mesures mobiles (let. c.); les contrôles de vitesse sur des tronçons (let. d). L' art. 7 OOCCR-OFROU régit les autres constatations de dépassements de vitesse et prévoit, notamment, que lors d'un contrôle de la durée du travail, de la conduite et du repos ou lors d'une déclaration d'accident, des dépassements de vitesse peuvent être constatés au moyen d'enregistrements de tachygraphes, d'enregistreurs de fin de parcours ou d'enregistreurs de données (al. 1).</w:t>
      </w:r>
    </w:p>
    <w:p>
      <w:r>
        <w:rPr>
          <w:b/>
        </w:rPr>
        <w:t>E. 2.3</w:t>
      </w:r>
    </w:p>
    <w:p>
      <w:r>
        <w:t>Selon la jurisprudence, les Instructions techniques, comme celles concernant les contrôles de vitesse émises le 22 mai 2008 par l'OFROU, constituent de simples recommandations qui n'ont pas force de loi et ne lient pas le juge ( ATF 150 IV 242 consid. 1.1.4; 123 II 106 consid. 2e;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 ATF 150 IV 242 consid. 1.1.4; arrêts 7B_114/2023 du 19 mai 2025 consid. 3.4.2; 6B_734/2023 du 20 octobre 2023 consid. 4.2.2; 6B_1177/2013 du 12 mai 2014 consid. 3.2). Les instructions techniques réservent du reste la libre appréciation des preuves par les tribunaux. En effet, il y est mentionné en particulier que les présentes Instructions n'influent pas sur la manière de déterminer la vitesse au moyen d'expertises (par exemple une analyse du déroulement des accidents ou une enquête sur des infractions aux règles de la circulation routière), ni sur la libre appréciation des preuves par les tribunaux. La vitesse déterminée au moyen d'expertises et les marges de sécurité à prendre en compte le cas échéant sont exhaustives: il n'est pas admis d'appliquer en plus les marges de sécurité fixées dans l'OOCCR (cf. ch. 21 des Instructions).</w:t>
      </w:r>
    </w:p>
    <w:p>
      <w:r>
        <w:rPr>
          <w:b/>
        </w:rPr>
        <w:t>E. 2.4</w:t>
      </w:r>
    </w:p>
    <w:p>
      <w:r>
        <w:t>Le recourant se plaint de ce que la cour cantonale aurait constaté sa vitesse en violation des art. 9 OCCR , 4, 6 et 7 OOCCR-OFROU. Il commence par expliquer les raisons pour lesquelles la caméra de vidéosurveillance utilisée au moment des faits ne saurait être assimilée à un instrument officiel de contrôle de vitesse au sens de l' art. 9 al. 1 let. a OCCR . Il en déduit que la détermination de la vitesse d'un véhicule à partir d'images d'une telle caméra ne serait pas fiable (cf. art. 9 al. 2 OCCR ), notamment en se référant aux exigences existant pour la mesure officielle des vitesses de circulation des véhicules (cf. art. 6 et 7 OOCCR-OFROU</w:t>
      </w:r>
    </w:p>
    <w:p>
      <w:r>
        <w:t>cum chapitres II., III., IV., V., VI. des Instructions). La méthode de calcul de vitesse basée sur une caméra de vidéosurveillance serait prévue uniquement en tant que moyen de contrôle pour confirmer la validité des résultats des instruments de mesures de vitesse prévus par l' art. 6 OOCCR-OFROU et précisés par l'art. 3 des Instructions. En sus, les données exploitées par l'expert ne pourraient pas être affectées sans le moindre doute au véhicule du recourant, et cela en violation de l' art. 4 OOCCR-OFROU .</w:t>
      </w:r>
    </w:p>
    <w:p>
      <w:r>
        <w:rPr>
          <w:b/>
        </w:rPr>
        <w:t>E. 2.5</w:t>
      </w:r>
    </w:p>
    <w:p>
      <w:r>
        <w:t>En l'espèce, c'est à tort que le recourant soutient que la cour cantonale ne pouvait se fonder sur les images de caméra de vidéosurveillance, car il ne s'agirait pas d'un instrument de mesure reconnu. En vertu de l' art. 10 al. 2 CPP , le tribunal apprécie librement les preuves recueillies selon l'intime conviction qu'il retire de l'ensemble de la procédure. Le CPP ne prévoit aucun</w:t>
      </w:r>
    </w:p>
    <w:p>
      <w:r>
        <w:t>numerus clausus des moyens de preuve. Selon une jurisprudence constante, le juge n'est pas lié par les instructions techniques, comme celles concernant les contrôles de vitesse émises le 22 mai 2008 par l'OFROU, dès lors qu'elles constituent de simples recommandations et n'ont pas force de loi (cf.</w:t>
      </w:r>
    </w:p>
    <w:p>
      <w:r>
        <w:t>supra consid. 2.3). L'analyse des données provenant de la caméra de vidéosurveillance a été réalisée par une expertise technique dont la validité repose sur les art. 182 ss CPP . C'est précisément parce que la caméra de vidéosurveillance ne relève pas des dispositifs listés par l' art. 6 OOCCR-OFROU propres à contrôler la vitesse, qu'une expertise technique était nécessaire afin de déterminer la vitesse parcourue par le recourant. En effet, la caméra de vidéosurveillance n'est pas un trépied, un véhicule à l'arrêt, un appareil de mesure manuel, un appareil radar automatique, un détecteur optique à seuil avec capteurs installés à demeure dans le revêtement de la chaussée, ou encore un scanner laser (cf. chapitre II des Instructions). Elle n'est pas non plus un système de mesure permettant d'effectuer des contrôles de vitesse sur des tronçons de route. Contrairement à l'argumentaire du recourant, ceci ne signifie pas pour autant que les données issues de la caméra de vidéosurveillance et exploitées par le E.________ sont illégales ou non fiables. En l'occurrence, un expert a été chargé d'analyser en détail les images filmées et de déterminer la vitesse de l'intéressé. Le procédé utilisé pour analyser ces données avait été convaincant, l'expert certifiant de la fiabilité des chiffres obtenus. La cour cantonale ne saurait être restreinte dans son pouvoir de libre appréciation et pouvait, sans arbitraire, se fonder sur l'expertise du E.________ pour déterminer la vitesse du recourant. À cet égard, il sied de souligner que l'OFROU ne dispose d'aucune compétence législative déléguée lui permettant d'édicter des règles contraignantes en matière d'appréciation des preuves qui dérogeraient au CPP (cf. arrêt 7B_114/2023 précité consid. 3.4.2).</w:t>
      </w:r>
    </w:p>
    <w:p>
      <w:r>
        <w:t>En outre, aucune violation de l' art. 4 OOCCR-OFROU ne saurait être retenue, dès lors que la caméra de vidéosurveillance n'est pas un système de mesure au sens de la présente ordonnance. Enfin, l' art. 7 OOCCR-OFROU vise des situations sans lien avec le cas d'espèce.</w:t>
      </w:r>
    </w:p>
    <w:p>
      <w:r>
        <w:t>Le grief est rejeté dans la mesure où il est recevable.</w:t>
      </w:r>
    </w:p>
    <w:p>
      <w:r>
        <w:rPr>
          <w:b/>
        </w:rPr>
        <w:t>E. 3</w:t>
      </w:r>
    </w:p>
    <w:p>
      <w:r>
        <w:t>Le recourant invoque la violation de l' art. 90 al. 3 LCR , sous l'angle de ses éléments objectifs.</w:t>
      </w:r>
    </w:p>
    <w:p>
      <w:r>
        <w:rPr>
          <w:b/>
        </w:rPr>
        <w:t>E. 3.1</w:t>
      </w:r>
    </w:p>
    <w:p>
      <w:r>
        <w:t>Selon l' art. 90 al. 2 LCR , celui qui, par une violation grave d'une règle de la circulation, crée un sérieux danger pour la sécurité d'autrui ou en prend le risque est puni d'une peine privative de liberté de trois ans au plus ou d'une peine pécuniaire. À teneur du texte légal, le danger créé par cette infraction, quoique accru, est moins élevé que celui de l' art. 90 al. 3 LCR . Dans les deux chefs d'infraction cependant, une mise en danger concrète pour la santé ou la vie de tiers n'est pas nécessaire; un danger abstrait, qualifié au sens de la disposition légale, est suffisant à cet égard ( ATF 143 IV 508 consid. 1.3; arrêts 6B_698/2017 du 13 octobre 2017 consid. 5.2; 6B_148/2016 du 29 novembre 2016 consid. 1.4.2 et les références citées). 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150 IV 242 consid. 1.1.1; 143 IV 508 consid. 1.3 et les arrêts cités; arrêt 6B_734/2023 précité consid. 4.1.1).</w:t>
      </w:r>
    </w:p>
    <w:p>
      <w:r>
        <w:rPr>
          <w:b/>
        </w:rPr>
        <w:t>E. 3.2</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L'alinéa 4, dans sa version en vigueur jusqu'au 30 septembre 2023, prévoyait que l'alinéa 3 était en tout cas applicable si la vitesse maximale autorisée était dépassée d'au moins: 40 km/h dans une zone limitée à 30 km/h (let. a); 50 km/h dans une zone de 50 km/h (let. b); 60 km/h dans une zone de 80 km/h (let. c); 80 km/h dans une zone de 120 km/h (let. d) (arrêt 6B_733/2024 du 8 octobre 2025 consid. 2.1.1 destiné à publication).</w:t>
      </w:r>
    </w:p>
    <w:p>
      <w:r>
        <w:t>L' art. 90 al. 3ter LCR , entré en vigueur le 1er octobre 2023 (RO 2023 453; FF 2021 3026), prévoit qu'en cas d'infractions au sens de l'alinéa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Cette disposition confère, dans la fixation de la peine, une plus grande marge d'appréciation au juge, qui n'est plus lié par la peine privative de liberté minimale d'un an prescrite par l' art. 90 al. 3 LCR , en ce qui concerne les auteurs non récidivistes ( ATF 151 IV 88 consid. 2.5.1; 150 IV 481 consid. 2.2 et 2.4; arrêt 6B_733/2024 précité consid. 2.1.1 destiné à publication). Cette possibilité doit lui permettre de tenir compte de toutes les circonstances du cas d'espèce et d'ainsi éviter des cas de rigueur inutiles (cf. ATF 151 IV précité consid. 2.3.3, qui résume la genèse de l'al. 3ter; arrêt 6B_733/2024 précité consid. 2.1.1 destiné à publication).</w:t>
      </w:r>
    </w:p>
    <w:p>
      <w:r>
        <w:rPr>
          <w:b/>
        </w:rPr>
        <w:t>E. 3.3</w:t>
      </w:r>
    </w:p>
    <w:p>
      <w:r>
        <w:t>L' art. 90 al. 3 LCR réprime le "délit de chauffard" et pose deux conditions objectives, à savoir, la violation d'une règle fondamentale de la circulation routière, et la création d'un grand risque d'accident pouvant entraîner de graves blessures ou la mort, sans qu'une mise en danger concrète pour la santé ou la vie de tiers soit pour autant nécessaire, un danger abstrait qualifié étant suffisant ( ATF 143 IV 508 consid. 1.1; arrêt 7B_150/2022 du 18 février 2025 consid. 5.2.1).</w:t>
      </w:r>
    </w:p>
    <w:p>
      <w:r>
        <w:t>La première condition objective, à savoir la violation d'une règle fondamentale de la circulation routière, est toujours réalisée lorsque l' art. 90 al. 4 LCR trouve application. Celui-ci décrit les excès de vitesse qui sont considérés comme particulièrement importants au sens de l'al. 3, notamment lorsque la vitesse maximale autorisée a été dépassée d'au moins 50 km/h, là où la limite était fixée à 50 km/h (cf. art. 90 al. 4 let. b LCR ; arrêt 6B_1202/2022 du 2 août 2023 consid. 3.2).</w:t>
      </w:r>
    </w:p>
    <w:p>
      <w:r>
        <w:t>Selon la jurisprudence,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Ainsi, l' art. 90 al. 4 LCR crée une présomption réfragable de la réalisation de la condition objective du danger qualifié au sens de l' art. 90 al. 3 LCR ( ATF 143 IV 508 consid. 1.6; arrêt 6B_814/2022 du 11 octobre 2022 consid. 1.2).</w:t>
      </w:r>
    </w:p>
    <w:p>
      <w:r>
        <w:rPr>
          <w:b/>
        </w:rPr>
        <w:t>E. 3.4</w:t>
      </w:r>
    </w:p>
    <w:p>
      <w:r>
        <w:t>La cour cantonale a retenu que les deux conditions objectives étaient réalisées. En effet, ayant porté son motocycle à une vitesse de 125 km/h à la place de 50 km/h et dépassant, de ce fait, la valeur énoncée à l' art. 90 al. 4 let. b LCR , le recourant a violé une règle fondamentale de la circulation routière. S'agissant de la deuxième condition objective, la cour cantonale a considéré que, bien que les conditions routières et météorologiques étaient bonnes - il faisait jour, le tronçon était rectiligne, la chaussée sèche et l'intensité du trafic faible -, il convenait de tenir compte du tronçon emprunté qui n'était séparé de la voie en sens inverse, à gauche, que par une petite berme centrale en béton, et était, à droite, bordé d'une voie réservée aux bus, taxis et vélos. Bien que le recourant n'était pas en train d'accélérer à la fin de son parcours au point F, un passage piéton se trouvait précisément à cet endroit, ce qui confirmait la présence de passants aux abords des voies. Ces éléments ne permettaient pas de renverser la présomption réfragable de la réalisation de l'élément objectif du danger qualifié de l' art. 90 al. 3 LCR .</w:t>
      </w:r>
    </w:p>
    <w:p>
      <w:r>
        <w:rPr>
          <w:b/>
        </w:rPr>
        <w:t>E. 3.5</w:t>
      </w:r>
    </w:p>
    <w:p>
      <w:r>
        <w:t>Le recourant soutient que la deuxième condition objective de l' art. 90 al. 3 LCR ne serait pas réalisée. Il fait valoir que les conditions météorologiques étaient très favorables et qu'il circulait à une vitesse comprise entre 54 km/h et 76 km/h au point F où se trouvait le passage piéton. Selon lui, ces circonstances ne consacreraient pas un grand risque d'accident pouvant entraîner de graves blessures ou la mort.</w:t>
      </w:r>
    </w:p>
    <w:p>
      <w:r>
        <w:t>En l'espèce, il n'existe aucun élément de fait particulier permettant d'écarter le danger abstrait qualifié, au sens de l' art. 90 al. 3 LCR , induit par la vitesse très largement excessive du recourant. En particulier, il ne résulte pas du dossier que la limitation de vitesse à 50 km/h n'aurait pas eu pour but la sécurité des personnes ou qu'elle aurait été seulement temporaire et ne se justifiait plus. Certes, le recourant n'était pas en train d'accélérer à la fin de son parcours au point F, là où se trouvait un passage piéton. Toutefois, ce secteur n'était pas le seul exposé à la présence de piétons puisque ceux-ci pouvaient se trouver également aux abords des voies. De plus, le tronçon emprunté n'était séparé de la voie en sens inverse, que par une petite berme centrale en béton, et se trouvait aux abords d'une voie réservée aux bus, taxis et vélos. Qui plus est, le recourant n'était pas seul, puisqu'il a fortement accéléré peu après le numéro yy de l'avenue X.________ avec un autre motocycle conduit par B.________, sur une distance de 450 mètres, jusqu'à atteindre une vitesse importante (cf. arrêt attaqué p. 3). En conséquence, en roulant à 125 km/h, ou même très légèrement plus ou moins (cf. Rapport E.________, p. 20; art. 105 al. 2 LTF ), en localité où la vitesse était limitée à 50 km/h, il avait dépassé les valeurs limites fixées à l' art. 90 al. 4 let. b LCR et ainsi, pris un risque démesuré. En effet, compte tenu de la vitesse à laquelle il roulait, le risque qu'il ne puisse réagir à temps ou de manière adéquate et/ou qu'il perde le contrôle de son véhicule lors d'une réaction, entraînant un accident avec des blessés graves ou des morts, était élevé. Partant, au vu du contexte, il n'existait pas de circonstances tout à fait exceptionnelles permettant de renverser la présomption réfragable de la réalisation du grand risque d'accident pouvant entraîner de graves blessures ou la mort, la deuxième condition objective de l' art. 90 al. 3 LCR étant réalisée. Ainsi, l'application des art. 90 al. 3 et al. 4 let. b LCR est conforme au droit fédéral.</w:t>
      </w:r>
    </w:p>
    <w:p>
      <w:r>
        <w:t>Partant, le grief du recourant est rejeté dans la mesure où il est recevable.</w:t>
      </w:r>
    </w:p>
    <w:p>
      <w:r>
        <w:rPr>
          <w:b/>
        </w:rPr>
        <w:t>E. 4</w:t>
      </w:r>
    </w:p>
    <w:p>
      <w:r>
        <w:t>Le recourant conclut à l'octroi d'une indemnité fondée sur l' art. 429 CPP . En tant que sa conclusion suppose son acquittement de l'infraction de violation fondamentale des règles de la circulation routière au sens de l' art. 90 al. 3 et 4 let. b LCR , qu'il n'obtient pas, elle devient sans objet.</w:t>
      </w:r>
    </w:p>
    <w:p>
      <w:r>
        <w:rPr>
          <w:b/>
        </w:rPr>
        <w:t>E. 5</w:t>
      </w:r>
    </w:p>
    <w:p>
      <w:r>
        <w:t>Il s'ensuit que le recours doit être rejeté dans la mesure où il est recevable. Le recourant, qui succombe, supporte les frais judiciaires ( art. 66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